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05AEE" w14:textId="7965149A" w:rsidR="00C77C37" w:rsidRDefault="007457F1">
      <w:pPr>
        <w:pStyle w:val="TD-Livello4"/>
      </w:pPr>
      <w:r>
        <w:rPr>
          <w:noProof/>
        </w:rPr>
        <mc:AlternateContent>
          <mc:Choice Requires="wps">
            <w:drawing>
              <wp:anchor distT="3175" distB="3175" distL="3175" distR="3175" simplePos="0" relativeHeight="1139" behindDoc="0" locked="0" layoutInCell="0" allowOverlap="1" wp14:anchorId="113F080D" wp14:editId="54030122">
                <wp:simplePos x="0" y="0"/>
                <wp:positionH relativeFrom="margin">
                  <wp:posOffset>-209550</wp:posOffset>
                </wp:positionH>
                <wp:positionV relativeFrom="paragraph">
                  <wp:posOffset>4608830</wp:posOffset>
                </wp:positionV>
                <wp:extent cx="3003550" cy="3451860"/>
                <wp:effectExtent l="0" t="0" r="25400" b="15240"/>
                <wp:wrapNone/>
                <wp:docPr id="6" name="Casella di testo 14"/>
                <wp:cNvGraphicFramePr/>
                <a:graphic xmlns:a="http://schemas.openxmlformats.org/drawingml/2006/main">
                  <a:graphicData uri="http://schemas.microsoft.com/office/word/2010/wordprocessingShape">
                    <wps:wsp>
                      <wps:cNvSpPr/>
                      <wps:spPr>
                        <a:xfrm>
                          <a:off x="0" y="0"/>
                          <a:ext cx="3003550" cy="3451860"/>
                        </a:xfrm>
                        <a:prstGeom prst="rect">
                          <a:avLst/>
                        </a:prstGeom>
                        <a:solidFill>
                          <a:srgbClr val="33CCFF"/>
                        </a:solidFill>
                        <a:ln w="6350">
                          <a:solidFill>
                            <a:srgbClr val="00B0F0"/>
                          </a:solidFill>
                          <a:round/>
                        </a:ln>
                      </wps:spPr>
                      <wps:style>
                        <a:lnRef idx="0">
                          <a:scrgbClr r="0" g="0" b="0"/>
                        </a:lnRef>
                        <a:fillRef idx="0">
                          <a:scrgbClr r="0" g="0" b="0"/>
                        </a:fillRef>
                        <a:effectRef idx="0">
                          <a:scrgbClr r="0" g="0" b="0"/>
                        </a:effectRef>
                        <a:fontRef idx="minor"/>
                      </wps:style>
                      <wps:txbx>
                        <w:txbxContent>
                          <w:p w14:paraId="68687AA5" w14:textId="77777777" w:rsidR="00204E95" w:rsidRDefault="00204E95">
                            <w:pPr>
                              <w:pStyle w:val="Contenutocornice"/>
                              <w:jc w:val="center"/>
                              <w:rPr>
                                <w:b/>
                                <w:bCs/>
                                <w:sz w:val="28"/>
                                <w:szCs w:val="28"/>
                              </w:rPr>
                            </w:pPr>
                            <w:r>
                              <w:rPr>
                                <w:b/>
                                <w:bCs/>
                                <w:color w:val="000000"/>
                                <w:sz w:val="28"/>
                                <w:szCs w:val="28"/>
                              </w:rPr>
                              <w:t>Riferimento al Piano Triennale per l’informatica</w:t>
                            </w:r>
                          </w:p>
                          <w:p w14:paraId="0B35E915" w14:textId="77777777" w:rsidR="00204E95" w:rsidRDefault="00204E95">
                            <w:pPr>
                              <w:pStyle w:val="Contenutocornice"/>
                              <w:jc w:val="center"/>
                              <w:rPr>
                                <w:b/>
                                <w:bCs/>
                                <w:sz w:val="28"/>
                                <w:szCs w:val="28"/>
                              </w:rPr>
                            </w:pPr>
                            <w:r>
                              <w:rPr>
                                <w:b/>
                                <w:bCs/>
                                <w:color w:val="000000"/>
                                <w:sz w:val="28"/>
                                <w:szCs w:val="28"/>
                              </w:rPr>
                              <w:t>2021-2023</w:t>
                            </w:r>
                          </w:p>
                          <w:p w14:paraId="2E3B75A4" w14:textId="77777777" w:rsidR="00204E95" w:rsidRDefault="00204E95">
                            <w:pPr>
                              <w:pStyle w:val="Contenutocornice"/>
                              <w:jc w:val="center"/>
                              <w:rPr>
                                <w:b/>
                                <w:bCs/>
                                <w:sz w:val="28"/>
                                <w:szCs w:val="28"/>
                              </w:rPr>
                            </w:pPr>
                            <w:r>
                              <w:rPr>
                                <w:b/>
                                <w:bCs/>
                                <w:color w:val="000000"/>
                                <w:sz w:val="28"/>
                                <w:szCs w:val="28"/>
                              </w:rPr>
                              <w:t>pubblicato da AGID</w:t>
                            </w:r>
                          </w:p>
                          <w:p w14:paraId="3A1CD218" w14:textId="77777777" w:rsidR="00204E95" w:rsidRDefault="00204E95">
                            <w:pPr>
                              <w:pStyle w:val="Contenutocornice"/>
                              <w:jc w:val="center"/>
                              <w:rPr>
                                <w:b/>
                                <w:bCs/>
                                <w:sz w:val="28"/>
                                <w:szCs w:val="28"/>
                              </w:rPr>
                            </w:pPr>
                            <w:r>
                              <w:rPr>
                                <w:b/>
                                <w:bCs/>
                                <w:color w:val="000000"/>
                                <w:sz w:val="28"/>
                                <w:szCs w:val="28"/>
                              </w:rPr>
                              <w:t>ed aggiornato al</w:t>
                            </w:r>
                          </w:p>
                          <w:p w14:paraId="7EB4C16D" w14:textId="77777777" w:rsidR="00204E95" w:rsidRDefault="00204E95">
                            <w:pPr>
                              <w:pStyle w:val="Contenutocornice"/>
                              <w:jc w:val="center"/>
                              <w:rPr>
                                <w:b/>
                                <w:bCs/>
                                <w:sz w:val="28"/>
                                <w:szCs w:val="28"/>
                              </w:rPr>
                            </w:pPr>
                            <w:r>
                              <w:rPr>
                                <w:b/>
                                <w:bCs/>
                                <w:color w:val="000000"/>
                                <w:sz w:val="28"/>
                                <w:szCs w:val="28"/>
                              </w:rPr>
                              <w:t>2022-2024</w:t>
                            </w:r>
                          </w:p>
                          <w:p w14:paraId="776D6336" w14:textId="77777777" w:rsidR="00204E95" w:rsidRDefault="00204E95">
                            <w:pPr>
                              <w:pStyle w:val="Contenutocornice"/>
                              <w:jc w:val="center"/>
                              <w:rPr>
                                <w:color w:val="000000"/>
                              </w:rPr>
                            </w:pPr>
                          </w:p>
                        </w:txbxContent>
                      </wps:txbx>
                      <wps:bodyPr anchor="ctr">
                        <a:prstTxWarp prst="textNoShape">
                          <a:avLst/>
                        </a:prstTxWarp>
                        <a:noAutofit/>
                      </wps:bodyPr>
                    </wps:wsp>
                  </a:graphicData>
                </a:graphic>
                <wp14:sizeRelV relativeFrom="margin">
                  <wp14:pctHeight>0</wp14:pctHeight>
                </wp14:sizeRelV>
              </wp:anchor>
            </w:drawing>
          </mc:Choice>
          <mc:Fallback>
            <w:pict>
              <v:rect w14:anchorId="113F080D" id="Casella di testo 14" o:spid="_x0000_s1026" style="position:absolute;left:0;text-align:left;margin-left:-16.5pt;margin-top:362.9pt;width:236.5pt;height:271.8pt;z-index:1139;visibility:visible;mso-wrap-style:square;mso-height-percent:0;mso-wrap-distance-left:.25pt;mso-wrap-distance-top:.25pt;mso-wrap-distance-right:.25pt;mso-wrap-distance-bottom:.25pt;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ZR+gEAAHQEAAAOAAAAZHJzL2Uyb0RvYy54bWysVMFu2zAMvQ/YPwi+L3bqJSiMOMWWIrsM&#10;XbG26FmRpViALAqUEjt/P0pxkrYDBrTYRZYsvsfHR9qLm6EzbC/Ra7B1Np0UGZNWQKPtts6eHtdf&#10;rjPmA7cNN2BlnR2kz26Wnz8telfJK2jBNBIZkVhf9a7O2hBcledetLLjfgJOWrpUgB0PdMRt3iDv&#10;ib0z+VVRzPMesHEIQnpPb2+Pl9ky8SslRfillJeBmTojbSGtmNZNXPPlgldb5K7VYpTBP6Ci49pS&#10;0jPVLQ+c7VD/RdVpgeBBhYmALgeltJCpBqpmWryp5qHlTqZayBzvzjb5/0cr7vYP7h7Jht75ytM2&#10;VjEo7OKT9LEhmXU4myWHwAS9LIuinM3IU0F35dfZ9Hqe7MwvcIc+/JDQsbipM6RuJJP4/qcPlJJC&#10;TyExmwejm7U2Jh1wu1kZZHtOnSvL1Wq9js0iyKswY1lfZ/OShPyboii+F+uTwFcUCDvbHKmNpQwX&#10;I9IuHIyM1Mb+lorpJvmRcolR4nGcaN7JjNNQkc4EiIGKSnondoREtExT/E78GZTygw1nfKctYHLy&#10;RXVxG4bNMI7BBprDPTJuRQtUnAiYzI29ehyeObqxoYFm4Q5OU8qrN309xkYFFr7tAiidmh6THTOM&#10;ZtNop8aOn2H8dl6eU9TlZ7H8AwAA//8DAFBLAwQUAAYACAAAACEA5QvosuQAAAAMAQAADwAAAGRy&#10;cy9kb3ducmV2LnhtbEyPy07DMBBF90j8gzVIbKrWSRpaCHEqxENCQkJqw4adGw92RGyH2G3N3zOs&#10;YDkzR3fOrTfJDuyIU+i9E5AvMmDoOq96pwW8tU/za2AhSqfk4B0K+MYAm+b8rJaV8ie3xeMuakYh&#10;LlRSgIlxrDgPnUErw8KP6Oj24ScrI42T5mqSJwq3Ay+ybMWt7B19MHLEe4Pd5+5gBej3WfuYdJfn&#10;5uHlNa3b7fPsywhxeZHuboFFTPEPhl99UoeGnPb+4FRgg4D5ckldooB1cUUdiCjLjDZ7QovVTQm8&#10;qfn/Es0PAAAA//8DAFBLAQItABQABgAIAAAAIQC2gziS/gAAAOEBAAATAAAAAAAAAAAAAAAAAAAA&#10;AABbQ29udGVudF9UeXBlc10ueG1sUEsBAi0AFAAGAAgAAAAhADj9If/WAAAAlAEAAAsAAAAAAAAA&#10;AAAAAAAALwEAAF9yZWxzLy5yZWxzUEsBAi0AFAAGAAgAAAAhAEwQZlH6AQAAdAQAAA4AAAAAAAAA&#10;AAAAAAAALgIAAGRycy9lMm9Eb2MueG1sUEsBAi0AFAAGAAgAAAAhAOUL6LLkAAAADAEAAA8AAAAA&#10;AAAAAAAAAAAAVAQAAGRycy9kb3ducmV2LnhtbFBLBQYAAAAABAAEAPMAAABlBQAAAAA=&#10;" o:allowincell="f" fillcolor="#3cf" strokecolor="#00b0f0" strokeweight=".5pt">
                <v:stroke joinstyle="round"/>
                <v:textbox>
                  <w:txbxContent>
                    <w:p w14:paraId="68687AA5" w14:textId="77777777" w:rsidR="00204E95" w:rsidRDefault="00204E95">
                      <w:pPr>
                        <w:pStyle w:val="Contenutocornice"/>
                        <w:jc w:val="center"/>
                        <w:rPr>
                          <w:b/>
                          <w:bCs/>
                          <w:sz w:val="28"/>
                          <w:szCs w:val="28"/>
                        </w:rPr>
                      </w:pPr>
                      <w:r>
                        <w:rPr>
                          <w:b/>
                          <w:bCs/>
                          <w:color w:val="000000"/>
                          <w:sz w:val="28"/>
                          <w:szCs w:val="28"/>
                        </w:rPr>
                        <w:t>Riferimento al Piano Triennale per l’informatica</w:t>
                      </w:r>
                    </w:p>
                    <w:p w14:paraId="0B35E915" w14:textId="77777777" w:rsidR="00204E95" w:rsidRDefault="00204E95">
                      <w:pPr>
                        <w:pStyle w:val="Contenutocornice"/>
                        <w:jc w:val="center"/>
                        <w:rPr>
                          <w:b/>
                          <w:bCs/>
                          <w:sz w:val="28"/>
                          <w:szCs w:val="28"/>
                        </w:rPr>
                      </w:pPr>
                      <w:r>
                        <w:rPr>
                          <w:b/>
                          <w:bCs/>
                          <w:color w:val="000000"/>
                          <w:sz w:val="28"/>
                          <w:szCs w:val="28"/>
                        </w:rPr>
                        <w:t>2021-2023</w:t>
                      </w:r>
                    </w:p>
                    <w:p w14:paraId="2E3B75A4" w14:textId="77777777" w:rsidR="00204E95" w:rsidRDefault="00204E95">
                      <w:pPr>
                        <w:pStyle w:val="Contenutocornice"/>
                        <w:jc w:val="center"/>
                        <w:rPr>
                          <w:b/>
                          <w:bCs/>
                          <w:sz w:val="28"/>
                          <w:szCs w:val="28"/>
                        </w:rPr>
                      </w:pPr>
                      <w:r>
                        <w:rPr>
                          <w:b/>
                          <w:bCs/>
                          <w:color w:val="000000"/>
                          <w:sz w:val="28"/>
                          <w:szCs w:val="28"/>
                        </w:rPr>
                        <w:t>pubblicato da AGID</w:t>
                      </w:r>
                    </w:p>
                    <w:p w14:paraId="3A1CD218" w14:textId="77777777" w:rsidR="00204E95" w:rsidRDefault="00204E95">
                      <w:pPr>
                        <w:pStyle w:val="Contenutocornice"/>
                        <w:jc w:val="center"/>
                        <w:rPr>
                          <w:b/>
                          <w:bCs/>
                          <w:sz w:val="28"/>
                          <w:szCs w:val="28"/>
                        </w:rPr>
                      </w:pPr>
                      <w:r>
                        <w:rPr>
                          <w:b/>
                          <w:bCs/>
                          <w:color w:val="000000"/>
                          <w:sz w:val="28"/>
                          <w:szCs w:val="28"/>
                        </w:rPr>
                        <w:t>ed aggiornato al</w:t>
                      </w:r>
                    </w:p>
                    <w:p w14:paraId="7EB4C16D" w14:textId="77777777" w:rsidR="00204E95" w:rsidRDefault="00204E95">
                      <w:pPr>
                        <w:pStyle w:val="Contenutocornice"/>
                        <w:jc w:val="center"/>
                        <w:rPr>
                          <w:b/>
                          <w:bCs/>
                          <w:sz w:val="28"/>
                          <w:szCs w:val="28"/>
                        </w:rPr>
                      </w:pPr>
                      <w:r>
                        <w:rPr>
                          <w:b/>
                          <w:bCs/>
                          <w:color w:val="000000"/>
                          <w:sz w:val="28"/>
                          <w:szCs w:val="28"/>
                        </w:rPr>
                        <w:t>2022-2024</w:t>
                      </w:r>
                    </w:p>
                    <w:p w14:paraId="776D6336" w14:textId="77777777" w:rsidR="00204E95" w:rsidRDefault="00204E95">
                      <w:pPr>
                        <w:pStyle w:val="Contenutocornice"/>
                        <w:jc w:val="center"/>
                        <w:rPr>
                          <w:color w:val="000000"/>
                        </w:rPr>
                      </w:pPr>
                    </w:p>
                  </w:txbxContent>
                </v:textbox>
                <w10:wrap anchorx="margin"/>
              </v:rect>
            </w:pict>
          </mc:Fallback>
        </mc:AlternateContent>
      </w:r>
      <w:r>
        <w:rPr>
          <w:noProof/>
        </w:rPr>
        <mc:AlternateContent>
          <mc:Choice Requires="wps">
            <w:drawing>
              <wp:anchor distT="3810" distB="2540" distL="3175" distR="3175" simplePos="0" relativeHeight="1142" behindDoc="0" locked="0" layoutInCell="0" allowOverlap="1" wp14:anchorId="2AE57B5F" wp14:editId="0485721F">
                <wp:simplePos x="0" y="0"/>
                <wp:positionH relativeFrom="margin">
                  <wp:posOffset>-212090</wp:posOffset>
                </wp:positionH>
                <wp:positionV relativeFrom="paragraph">
                  <wp:posOffset>8064500</wp:posOffset>
                </wp:positionV>
                <wp:extent cx="3003550" cy="485775"/>
                <wp:effectExtent l="3175" t="3810" r="3175" b="2540"/>
                <wp:wrapNone/>
                <wp:docPr id="8" name="Casella di testo 145174"/>
                <wp:cNvGraphicFramePr/>
                <a:graphic xmlns:a="http://schemas.openxmlformats.org/drawingml/2006/main">
                  <a:graphicData uri="http://schemas.microsoft.com/office/word/2010/wordprocessingShape">
                    <wps:wsp>
                      <wps:cNvSpPr/>
                      <wps:spPr>
                        <a:xfrm>
                          <a:off x="0" y="0"/>
                          <a:ext cx="3003550" cy="485775"/>
                        </a:xfrm>
                        <a:prstGeom prst="rect">
                          <a:avLst/>
                        </a:prstGeom>
                        <a:solidFill>
                          <a:schemeClr val="bg2">
                            <a:lumMod val="90000"/>
                          </a:schemeClr>
                        </a:solidFill>
                        <a:ln w="6350">
                          <a:solidFill>
                            <a:srgbClr val="AFABAB"/>
                          </a:solidFill>
                          <a:round/>
                        </a:ln>
                      </wps:spPr>
                      <wps:style>
                        <a:lnRef idx="0">
                          <a:scrgbClr r="0" g="0" b="0"/>
                        </a:lnRef>
                        <a:fillRef idx="0">
                          <a:scrgbClr r="0" g="0" b="0"/>
                        </a:fillRef>
                        <a:effectRef idx="0">
                          <a:scrgbClr r="0" g="0" b="0"/>
                        </a:effectRef>
                        <a:fontRef idx="minor"/>
                      </wps:style>
                      <wps:txbx>
                        <w:txbxContent>
                          <w:sdt>
                            <w:sdtPr>
                              <w:id w:val="814827633"/>
                              <w:docPartObj>
                                <w:docPartGallery w:val="Cover Pages"/>
                                <w:docPartUnique/>
                              </w:docPartObj>
                            </w:sdtPr>
                            <w:sdtContent>
                              <w:p w14:paraId="7744DF84" w14:textId="37F6D503" w:rsidR="00204E95" w:rsidRDefault="00204E95">
                                <w:pPr>
                                  <w:pStyle w:val="Contenutocornice"/>
                                  <w:jc w:val="center"/>
                                  <w:rPr>
                                    <w:i/>
                                    <w:iCs/>
                                    <w:color w:val="808080"/>
                                    <w:sz w:val="28"/>
                                    <w:szCs w:val="28"/>
                                  </w:rPr>
                                </w:pPr>
                                <w:r>
                                  <w:rPr>
                                    <w:i/>
                                    <w:iCs/>
                                    <w:color w:val="808080" w:themeColor="background1" w:themeShade="80"/>
                                    <w:sz w:val="28"/>
                                    <w:szCs w:val="28"/>
                                  </w:rPr>
                                  <w:t xml:space="preserve">Aggiornamento </w:t>
                                </w:r>
                                <w:r w:rsidR="00150AFE" w:rsidRPr="00150AFE">
                                  <w:rPr>
                                    <w:i/>
                                    <w:iCs/>
                                    <w:color w:val="808080" w:themeColor="background1" w:themeShade="80"/>
                                    <w:sz w:val="28"/>
                                    <w:szCs w:val="28"/>
                                    <w:highlight w:val="yellow"/>
                                  </w:rPr>
                                  <w:t>Mese</w:t>
                                </w:r>
                                <w:r w:rsidRPr="00150AFE">
                                  <w:rPr>
                                    <w:i/>
                                    <w:iCs/>
                                    <w:color w:val="808080" w:themeColor="background1" w:themeShade="80"/>
                                    <w:sz w:val="28"/>
                                    <w:szCs w:val="28"/>
                                    <w:highlight w:val="yellow"/>
                                  </w:rPr>
                                  <w:t xml:space="preserve"> </w:t>
                                </w:r>
                                <w:r w:rsidR="00991435" w:rsidRPr="00150AFE">
                                  <w:rPr>
                                    <w:i/>
                                    <w:iCs/>
                                    <w:color w:val="808080" w:themeColor="background1" w:themeShade="80"/>
                                    <w:sz w:val="28"/>
                                    <w:szCs w:val="28"/>
                                    <w:highlight w:val="yellow"/>
                                  </w:rPr>
                                  <w:t>A</w:t>
                                </w:r>
                                <w:r w:rsidR="00991435" w:rsidRPr="00991435">
                                  <w:rPr>
                                    <w:i/>
                                    <w:iCs/>
                                    <w:color w:val="808080" w:themeColor="background1" w:themeShade="80"/>
                                    <w:sz w:val="28"/>
                                    <w:szCs w:val="28"/>
                                    <w:highlight w:val="yellow"/>
                                  </w:rPr>
                                  <w:t>AAA</w:t>
                                </w:r>
                              </w:p>
                            </w:sdtContent>
                          </w:sdt>
                        </w:txbxContent>
                      </wps:txbx>
                      <wps:bodyPr anchor="ctr">
                        <a:prstTxWarp prst="textNoShape">
                          <a:avLst/>
                        </a:prstTxWarp>
                        <a:noAutofit/>
                      </wps:bodyPr>
                    </wps:wsp>
                  </a:graphicData>
                </a:graphic>
              </wp:anchor>
            </w:drawing>
          </mc:Choice>
          <mc:Fallback>
            <w:pict>
              <v:rect w14:anchorId="2AE57B5F" id="Casella di testo 145174" o:spid="_x0000_s1027" style="position:absolute;left:0;text-align:left;margin-left:-16.7pt;margin-top:635pt;width:236.5pt;height:38.25pt;z-index:1142;visibility:visible;mso-wrap-style:square;mso-wrap-distance-left:.25pt;mso-wrap-distance-top:.3pt;mso-wrap-distance-right:.25pt;mso-wrap-distance-bottom:.2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JtDwIAAJ0EAAAOAAAAZHJzL2Uyb0RvYy54bWysVE1v2zAMvQ/YfxB8X+wmS9sZcYp0RXbZ&#10;2mJtsbMiS7EASRQkJXb+/SjZcbL21KE5KPogH/keSS9uOq3InjsvwVTZxaTICDcMamm2VfbyvP5y&#10;nREfqKmpAsOr7MB9drP8/GnR2pJPoQFVc0cQxPiytVXWhGDLPPes4Zr6CVhu8FGA0zTg0W3z2tEW&#10;0bXKp0VxmbfgauuAce/x9q5/zJYJXwjOwoMQngeiqgxzC2l1ad3ENV8uaLl11DaSDWnQ/8hCU2kw&#10;6Ah1RwMlOyffQGnJHHgQYcJA5yCEZDxxQDYXxSs2Tw21PHFBcbwdZfIfB8vu90/20aEMrfWlx21k&#10;0Qmn4z/mR7ok1mEUi3eBMLycFcVsPkdNGb59vZ5fXc2jmvnJ2zoffnDQJG6qzGExkkZ0/9OH3vRo&#10;EoN5ULJeS6XSITYA/64c2VMs3WY7Ta5qp39B3d99K/A3hEz9Es1TAv8gKUPaKrucYapvo7jtZoyx&#10;Wq9uV7dHwPNkHOxM3SesDEY4SZV24aB4hFbmNxdE1kmxnsSA3zccTgTKdWw7FCo5REOBrN/pO7hE&#10;b576/J3+o1OKDyaM/loacEmGM3ZxG7pNh/RwzONrvNlAfXh0hBrWAHJkwSWNY1Wfuz/U2aH0AZvm&#10;Ho7tTMtXHdDbxkQMrHYBhEztcYowaI4zkOo7zGscsvNzsjp9VZZ/AQAA//8DAFBLAwQUAAYACAAA&#10;ACEA3/85l+IAAAANAQAADwAAAGRycy9kb3ducmV2LnhtbEyPzU7DMBCE70i8g7VI3FqH/AEhToWQ&#10;ONFLQw/l5sZLEhGv09htU56e5QTHnfk0O1OuZjuIE06+d6TgbhmBQGqc6alVsH1/XTyA8EGT0YMj&#10;VHBBD6vq+qrUhXFn2uCpDq3gEPKFVtCFMBZS+qZDq/3SjUjsfbrJ6sDn1Eoz6TOH20HGUZRLq3vi&#10;D50e8aXD5qs+WgWxydb2+7LefOwOzW6bHXrr32qlbm/m5ycQAefwB8Nvfa4OFXfauyMZLwYFiyRJ&#10;GWUjvo94FSNp8piD2LOUpHkGsirl/xXVDwAAAP//AwBQSwECLQAUAAYACAAAACEAtoM4kv4AAADh&#10;AQAAEwAAAAAAAAAAAAAAAAAAAAAAW0NvbnRlbnRfVHlwZXNdLnhtbFBLAQItABQABgAIAAAAIQA4&#10;/SH/1gAAAJQBAAALAAAAAAAAAAAAAAAAAC8BAABfcmVscy8ucmVsc1BLAQItABQABgAIAAAAIQAe&#10;GGJtDwIAAJ0EAAAOAAAAAAAAAAAAAAAAAC4CAABkcnMvZTJvRG9jLnhtbFBLAQItABQABgAIAAAA&#10;IQDf/zmX4gAAAA0BAAAPAAAAAAAAAAAAAAAAAGkEAABkcnMvZG93bnJldi54bWxQSwUGAAAAAAQA&#10;BADzAAAAeAUAAAAA&#10;" o:allowincell="f" fillcolor="#cfcdcd [2894]" strokecolor="#afabab" strokeweight=".5pt">
                <v:stroke joinstyle="round"/>
                <v:textbox>
                  <w:txbxContent>
                    <w:sdt>
                      <w:sdtPr>
                        <w:id w:val="814827633"/>
                        <w:docPartObj>
                          <w:docPartGallery w:val="Cover Pages"/>
                          <w:docPartUnique/>
                        </w:docPartObj>
                      </w:sdtPr>
                      <w:sdtContent>
                        <w:p w14:paraId="7744DF84" w14:textId="37F6D503" w:rsidR="00204E95" w:rsidRDefault="00204E95">
                          <w:pPr>
                            <w:pStyle w:val="Contenutocornice"/>
                            <w:jc w:val="center"/>
                            <w:rPr>
                              <w:i/>
                              <w:iCs/>
                              <w:color w:val="808080"/>
                              <w:sz w:val="28"/>
                              <w:szCs w:val="28"/>
                            </w:rPr>
                          </w:pPr>
                          <w:r>
                            <w:rPr>
                              <w:i/>
                              <w:iCs/>
                              <w:color w:val="808080" w:themeColor="background1" w:themeShade="80"/>
                              <w:sz w:val="28"/>
                              <w:szCs w:val="28"/>
                            </w:rPr>
                            <w:t xml:space="preserve">Aggiornamento </w:t>
                          </w:r>
                          <w:r w:rsidR="00150AFE" w:rsidRPr="00150AFE">
                            <w:rPr>
                              <w:i/>
                              <w:iCs/>
                              <w:color w:val="808080" w:themeColor="background1" w:themeShade="80"/>
                              <w:sz w:val="28"/>
                              <w:szCs w:val="28"/>
                              <w:highlight w:val="yellow"/>
                            </w:rPr>
                            <w:t>Mese</w:t>
                          </w:r>
                          <w:r w:rsidRPr="00150AFE">
                            <w:rPr>
                              <w:i/>
                              <w:iCs/>
                              <w:color w:val="808080" w:themeColor="background1" w:themeShade="80"/>
                              <w:sz w:val="28"/>
                              <w:szCs w:val="28"/>
                              <w:highlight w:val="yellow"/>
                            </w:rPr>
                            <w:t xml:space="preserve"> </w:t>
                          </w:r>
                          <w:r w:rsidR="00991435" w:rsidRPr="00150AFE">
                            <w:rPr>
                              <w:i/>
                              <w:iCs/>
                              <w:color w:val="808080" w:themeColor="background1" w:themeShade="80"/>
                              <w:sz w:val="28"/>
                              <w:szCs w:val="28"/>
                              <w:highlight w:val="yellow"/>
                            </w:rPr>
                            <w:t>A</w:t>
                          </w:r>
                          <w:r w:rsidR="00991435" w:rsidRPr="00991435">
                            <w:rPr>
                              <w:i/>
                              <w:iCs/>
                              <w:color w:val="808080" w:themeColor="background1" w:themeShade="80"/>
                              <w:sz w:val="28"/>
                              <w:szCs w:val="28"/>
                              <w:highlight w:val="yellow"/>
                            </w:rPr>
                            <w:t>AAA</w:t>
                          </w:r>
                        </w:p>
                      </w:sdtContent>
                    </w:sdt>
                  </w:txbxContent>
                </v:textbox>
                <w10:wrap anchorx="margin"/>
              </v:rect>
            </w:pict>
          </mc:Fallback>
        </mc:AlternateContent>
      </w:r>
      <w:r>
        <w:rPr>
          <w:noProof/>
        </w:rPr>
        <w:drawing>
          <wp:anchor distT="0" distB="0" distL="114300" distR="114300" simplePos="0" relativeHeight="1136" behindDoc="0" locked="0" layoutInCell="0" allowOverlap="1" wp14:anchorId="02512277" wp14:editId="5F056624">
            <wp:simplePos x="0" y="0"/>
            <wp:positionH relativeFrom="page">
              <wp:posOffset>3076575</wp:posOffset>
            </wp:positionH>
            <wp:positionV relativeFrom="margin">
              <wp:posOffset>8255</wp:posOffset>
            </wp:positionV>
            <wp:extent cx="3895725" cy="8534400"/>
            <wp:effectExtent l="0" t="0" r="9525" b="0"/>
            <wp:wrapTopAndBottom/>
            <wp:docPr id="1" name="Picture 14520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5204" descr="Immagine che contiene testo&#10;&#10;Descrizione generata automaticamente"/>
                    <pic:cNvPicPr>
                      <a:picLocks noChangeAspect="1" noChangeArrowheads="1"/>
                    </pic:cNvPicPr>
                  </pic:nvPicPr>
                  <pic:blipFill>
                    <a:blip r:embed="rId11"/>
                    <a:srcRect l="48428"/>
                    <a:stretch>
                      <a:fillRect/>
                    </a:stretch>
                  </pic:blipFill>
                  <pic:spPr bwMode="auto">
                    <a:xfrm>
                      <a:off x="0" y="0"/>
                      <a:ext cx="3895725" cy="8534400"/>
                    </a:xfrm>
                    <a:prstGeom prst="rect">
                      <a:avLst/>
                    </a:prstGeom>
                  </pic:spPr>
                </pic:pic>
              </a:graphicData>
            </a:graphic>
            <wp14:sizeRelV relativeFrom="margin">
              <wp14:pctHeight>0</wp14:pctHeight>
            </wp14:sizeRelV>
          </wp:anchor>
        </w:drawing>
      </w:r>
      <w:r>
        <w:rPr>
          <w:noProof/>
        </w:rPr>
        <mc:AlternateContent>
          <mc:Choice Requires="wps">
            <w:drawing>
              <wp:anchor distT="3810" distB="2540" distL="3175" distR="3175" simplePos="0" relativeHeight="1137" behindDoc="0" locked="0" layoutInCell="0" allowOverlap="1" wp14:anchorId="1165A0A4" wp14:editId="71463DFC">
                <wp:simplePos x="0" y="0"/>
                <wp:positionH relativeFrom="column">
                  <wp:posOffset>-205740</wp:posOffset>
                </wp:positionH>
                <wp:positionV relativeFrom="paragraph">
                  <wp:posOffset>2540</wp:posOffset>
                </wp:positionV>
                <wp:extent cx="3003550" cy="5320665"/>
                <wp:effectExtent l="3175" t="3810" r="3175" b="2540"/>
                <wp:wrapNone/>
                <wp:docPr id="2" name="Casella di testo 12"/>
                <wp:cNvGraphicFramePr/>
                <a:graphic xmlns:a="http://schemas.openxmlformats.org/drawingml/2006/main">
                  <a:graphicData uri="http://schemas.microsoft.com/office/word/2010/wordprocessingShape">
                    <wps:wsp>
                      <wps:cNvSpPr/>
                      <wps:spPr>
                        <a:xfrm>
                          <a:off x="0" y="0"/>
                          <a:ext cx="3003480" cy="5320800"/>
                        </a:xfrm>
                        <a:prstGeom prst="rect">
                          <a:avLst/>
                        </a:prstGeom>
                        <a:solidFill>
                          <a:srgbClr val="3050F0"/>
                        </a:solidFill>
                        <a:ln w="6350">
                          <a:solidFill>
                            <a:srgbClr val="3050F0"/>
                          </a:solidFill>
                          <a:round/>
                        </a:ln>
                      </wps:spPr>
                      <wps:style>
                        <a:lnRef idx="0">
                          <a:scrgbClr r="0" g="0" b="0"/>
                        </a:lnRef>
                        <a:fillRef idx="0">
                          <a:scrgbClr r="0" g="0" b="0"/>
                        </a:fillRef>
                        <a:effectRef idx="0">
                          <a:scrgbClr r="0" g="0" b="0"/>
                        </a:effectRef>
                        <a:fontRef idx="minor"/>
                      </wps:style>
                      <wps:txbx>
                        <w:txbxContent>
                          <w:p w14:paraId="7AC807D7" w14:textId="77777777" w:rsidR="00204E95" w:rsidRDefault="00204E95">
                            <w:pPr>
                              <w:pStyle w:val="Contenutocornice"/>
                              <w:ind w:left="0" w:right="132"/>
                              <w:jc w:val="center"/>
                              <w:rPr>
                                <w:b/>
                                <w:bCs/>
                                <w:color w:val="FFFFFF"/>
                                <w:sz w:val="36"/>
                                <w:szCs w:val="36"/>
                              </w:rPr>
                            </w:pPr>
                            <w:r>
                              <w:rPr>
                                <w:b/>
                                <w:bCs/>
                                <w:color w:val="FFFFFF" w:themeColor="background1"/>
                                <w:sz w:val="36"/>
                                <w:szCs w:val="36"/>
                              </w:rPr>
                              <w:t>Piano Triennale 2022-2024 per la transizione digitale</w:t>
                            </w:r>
                          </w:p>
                          <w:p w14:paraId="66E1ADCD" w14:textId="77777777" w:rsidR="00204E95" w:rsidRDefault="00204E95">
                            <w:pPr>
                              <w:pStyle w:val="Contenutocornice"/>
                              <w:jc w:val="center"/>
                              <w:rPr>
                                <w:b/>
                                <w:bCs/>
                                <w:color w:val="FFFFFF"/>
                                <w:sz w:val="36"/>
                                <w:szCs w:val="36"/>
                              </w:rPr>
                            </w:pPr>
                            <w:r>
                              <w:rPr>
                                <w:b/>
                                <w:bCs/>
                                <w:color w:val="FFFFFF" w:themeColor="background1"/>
                                <w:sz w:val="36"/>
                                <w:szCs w:val="36"/>
                              </w:rPr>
                              <w:t xml:space="preserve">del </w:t>
                            </w:r>
                          </w:p>
                          <w:p w14:paraId="7AD5847C" w14:textId="6099724C" w:rsidR="00204E95" w:rsidRDefault="00204E95">
                            <w:pPr>
                              <w:pStyle w:val="Contenutocornice"/>
                              <w:jc w:val="center"/>
                              <w:rPr>
                                <w:b/>
                                <w:bCs/>
                                <w:color w:val="FFFFFF"/>
                                <w:sz w:val="36"/>
                                <w:szCs w:val="36"/>
                              </w:rPr>
                            </w:pPr>
                            <w:r>
                              <w:rPr>
                                <w:b/>
                                <w:bCs/>
                                <w:color w:val="FFFFFF" w:themeColor="background1"/>
                                <w:sz w:val="36"/>
                                <w:szCs w:val="36"/>
                              </w:rPr>
                              <w:t xml:space="preserve">Comune di </w:t>
                            </w:r>
                            <w:r w:rsidR="00C92676" w:rsidRPr="00C92676">
                              <w:rPr>
                                <w:b/>
                                <w:bCs/>
                                <w:color w:val="FFFFFF" w:themeColor="background1"/>
                                <w:sz w:val="36"/>
                                <w:szCs w:val="36"/>
                                <w:highlight w:val="yellow"/>
                              </w:rPr>
                              <w:t>XXXXXXXXXX</w:t>
                            </w:r>
                          </w:p>
                          <w:p w14:paraId="6C488247" w14:textId="77777777" w:rsidR="00204E95" w:rsidRDefault="00204E95">
                            <w:pPr>
                              <w:pStyle w:val="Contenutocornice"/>
                              <w:jc w:val="center"/>
                              <w:rPr>
                                <w:b/>
                                <w:bCs/>
                                <w:color w:val="FFFFFF"/>
                                <w:sz w:val="36"/>
                                <w:szCs w:val="36"/>
                              </w:rPr>
                            </w:pPr>
                          </w:p>
                          <w:p w14:paraId="34BADA1A" w14:textId="573256CA" w:rsidR="00204E95" w:rsidRDefault="00150AFE">
                            <w:pPr>
                              <w:pStyle w:val="Contenutocornice"/>
                              <w:jc w:val="center"/>
                              <w:rPr>
                                <w:color w:val="000000"/>
                              </w:rPr>
                            </w:pPr>
                            <w:r w:rsidRPr="00150AFE">
                              <w:rPr>
                                <w:noProof/>
                                <w:color w:val="000000"/>
                                <w:highlight w:val="yellow"/>
                                <w:lang w:eastAsia="it-IT"/>
                              </w:rPr>
                              <w:t>Inserire Logo</w:t>
                            </w:r>
                          </w:p>
                        </w:txbxContent>
                      </wps:txbx>
                      <wps:bodyPr anchor="ctr">
                        <a:prstTxWarp prst="textNoShape">
                          <a:avLst/>
                        </a:prstTxWarp>
                        <a:noAutofit/>
                      </wps:bodyPr>
                    </wps:wsp>
                  </a:graphicData>
                </a:graphic>
              </wp:anchor>
            </w:drawing>
          </mc:Choice>
          <mc:Fallback>
            <w:pict>
              <v:rect w14:anchorId="1165A0A4" id="Casella di testo 12" o:spid="_x0000_s1028" style="position:absolute;left:0;text-align:left;margin-left:-16.2pt;margin-top:.2pt;width:236.5pt;height:418.95pt;z-index:1137;visibility:visible;mso-wrap-style:square;mso-wrap-distance-left:.25pt;mso-wrap-distance-top:.3pt;mso-wrap-distance-right:.25pt;mso-wrap-distance-bottom:.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5E+AEAAHsEAAAOAAAAZHJzL2Uyb0RvYy54bWysVE1v2zAMvQ/YfxB0X+wmSxEYcYphRXYZ&#10;umLtsLMiS7EAWRQoJXb+/SjZSdbusg67KPogH997pLO+GzrLjgqDAVfzm1nJmXISGuP2Nf/xvP2w&#10;4ixE4Rphwaman1Tgd5v379a9r9QcWrCNQkYgLlS9r3kbo6+KIshWdSLMwCtHjxqwE5GOuC8aFD2h&#10;d7aYl+Vt0QM2HkGqEOj2fnzkm4yvtZLxm9ZBRWZrTtxiXjGvu7QWm7Wo9ih8a+REQ/wDi04YR0Uv&#10;UPciCnZA8wdUZyRCAB1nEroCtDZSZQ2k5qZ8peapFV5lLWRO8Bebwv+DlQ/HJ/+IZEPvQxVom1QM&#10;Grv0S/zYkM06XcxSQ2SSLhdlufi4Ik8lvS0X83JVZjuLa7rHEL8o6Fja1BypG9kkcfwaIpWk0HNI&#10;qhbAmmZrrM0H3O8+W2RHQZ1blMtye0Z/EWYd62t+u1iWGfnFW/g7CISDa0Y21hGpqxF5F09WJULW&#10;fVeamSb7kRnKCX8cJ5p3MuM8VCQtJ6RATZLemDulpGyVp/iN+ZekXB9cvOR3xgGmsR91juqS0Djs&#10;BpJX83l6TTc7aE6PyISTLZBGGTF7nFr2PPwU6Ke+RhqJBzgPq6hetXeMTUQcfDpE0Cb3/lph4kIT&#10;nkdi+hrTJ/T7OUdd/zM2vwAAAP//AwBQSwMEFAAGAAgAAAAhAPjxxQLeAAAACAEAAA8AAABkcnMv&#10;ZG93bnJldi54bWxMj0FLw0AQhe+C/2GZgrd20yTUEDMpIiheFIyFXjfZaRLMzobspon/3vWklwfD&#10;e7z3TXFczSCuNLneMsJ+F4EgbqzuuUU4fT5vMxDOK9ZqsEwI3+TgWN7eFCrXduEPula+FaGEXa4Q&#10;Ou/HXErXdGSU29mROHgXOxnlwzm1Uk9qCeVmkHEUHaRRPYeFTo301FHzVc0GYa7bUxSfm2W5fzm/&#10;Xt4qR+l7hni3WR8fQHha/V8YfvEDOpSBqbYzaycGhG0SpyGKEDTYaRodQNQIWZIlIMtC/n+g/AEA&#10;AP//AwBQSwECLQAUAAYACAAAACEAtoM4kv4AAADhAQAAEwAAAAAAAAAAAAAAAAAAAAAAW0NvbnRl&#10;bnRfVHlwZXNdLnhtbFBLAQItABQABgAIAAAAIQA4/SH/1gAAAJQBAAALAAAAAAAAAAAAAAAAAC8B&#10;AABfcmVscy8ucmVsc1BLAQItABQABgAIAAAAIQAB445E+AEAAHsEAAAOAAAAAAAAAAAAAAAAAC4C&#10;AABkcnMvZTJvRG9jLnhtbFBLAQItABQABgAIAAAAIQD48cUC3gAAAAgBAAAPAAAAAAAAAAAAAAAA&#10;AFIEAABkcnMvZG93bnJldi54bWxQSwUGAAAAAAQABADzAAAAXQUAAAAA&#10;" o:allowincell="f" fillcolor="#3050f0" strokecolor="#3050f0" strokeweight=".5pt">
                <v:stroke joinstyle="round"/>
                <v:textbox>
                  <w:txbxContent>
                    <w:p w14:paraId="7AC807D7" w14:textId="77777777" w:rsidR="00204E95" w:rsidRDefault="00204E95">
                      <w:pPr>
                        <w:pStyle w:val="Contenutocornice"/>
                        <w:ind w:left="0" w:right="132"/>
                        <w:jc w:val="center"/>
                        <w:rPr>
                          <w:b/>
                          <w:bCs/>
                          <w:color w:val="FFFFFF"/>
                          <w:sz w:val="36"/>
                          <w:szCs w:val="36"/>
                        </w:rPr>
                      </w:pPr>
                      <w:r>
                        <w:rPr>
                          <w:b/>
                          <w:bCs/>
                          <w:color w:val="FFFFFF" w:themeColor="background1"/>
                          <w:sz w:val="36"/>
                          <w:szCs w:val="36"/>
                        </w:rPr>
                        <w:t>Piano Triennale 2022-2024 per la transizione digitale</w:t>
                      </w:r>
                    </w:p>
                    <w:p w14:paraId="66E1ADCD" w14:textId="77777777" w:rsidR="00204E95" w:rsidRDefault="00204E95">
                      <w:pPr>
                        <w:pStyle w:val="Contenutocornice"/>
                        <w:jc w:val="center"/>
                        <w:rPr>
                          <w:b/>
                          <w:bCs/>
                          <w:color w:val="FFFFFF"/>
                          <w:sz w:val="36"/>
                          <w:szCs w:val="36"/>
                        </w:rPr>
                      </w:pPr>
                      <w:r>
                        <w:rPr>
                          <w:b/>
                          <w:bCs/>
                          <w:color w:val="FFFFFF" w:themeColor="background1"/>
                          <w:sz w:val="36"/>
                          <w:szCs w:val="36"/>
                        </w:rPr>
                        <w:t xml:space="preserve">del </w:t>
                      </w:r>
                    </w:p>
                    <w:p w14:paraId="7AD5847C" w14:textId="6099724C" w:rsidR="00204E95" w:rsidRDefault="00204E95">
                      <w:pPr>
                        <w:pStyle w:val="Contenutocornice"/>
                        <w:jc w:val="center"/>
                        <w:rPr>
                          <w:b/>
                          <w:bCs/>
                          <w:color w:val="FFFFFF"/>
                          <w:sz w:val="36"/>
                          <w:szCs w:val="36"/>
                        </w:rPr>
                      </w:pPr>
                      <w:r>
                        <w:rPr>
                          <w:b/>
                          <w:bCs/>
                          <w:color w:val="FFFFFF" w:themeColor="background1"/>
                          <w:sz w:val="36"/>
                          <w:szCs w:val="36"/>
                        </w:rPr>
                        <w:t xml:space="preserve">Comune di </w:t>
                      </w:r>
                      <w:r w:rsidR="00C92676" w:rsidRPr="00C92676">
                        <w:rPr>
                          <w:b/>
                          <w:bCs/>
                          <w:color w:val="FFFFFF" w:themeColor="background1"/>
                          <w:sz w:val="36"/>
                          <w:szCs w:val="36"/>
                          <w:highlight w:val="yellow"/>
                        </w:rPr>
                        <w:t>XXXXXXXXXX</w:t>
                      </w:r>
                    </w:p>
                    <w:p w14:paraId="6C488247" w14:textId="77777777" w:rsidR="00204E95" w:rsidRDefault="00204E95">
                      <w:pPr>
                        <w:pStyle w:val="Contenutocornice"/>
                        <w:jc w:val="center"/>
                        <w:rPr>
                          <w:b/>
                          <w:bCs/>
                          <w:color w:val="FFFFFF"/>
                          <w:sz w:val="36"/>
                          <w:szCs w:val="36"/>
                        </w:rPr>
                      </w:pPr>
                    </w:p>
                    <w:p w14:paraId="34BADA1A" w14:textId="573256CA" w:rsidR="00204E95" w:rsidRDefault="00150AFE">
                      <w:pPr>
                        <w:pStyle w:val="Contenutocornice"/>
                        <w:jc w:val="center"/>
                        <w:rPr>
                          <w:color w:val="000000"/>
                        </w:rPr>
                      </w:pPr>
                      <w:r w:rsidRPr="00150AFE">
                        <w:rPr>
                          <w:noProof/>
                          <w:color w:val="000000"/>
                          <w:highlight w:val="yellow"/>
                          <w:lang w:eastAsia="it-IT"/>
                        </w:rPr>
                        <w:t>Inserire Logo</w:t>
                      </w:r>
                    </w:p>
                  </w:txbxContent>
                </v:textbox>
              </v:rect>
            </w:pict>
          </mc:Fallback>
        </mc:AlternateContent>
      </w:r>
      <w:bookmarkStart w:id="0" w:name="_Toc85207149"/>
    </w:p>
    <w:p w14:paraId="6C1D27B0" w14:textId="77777777" w:rsidR="00C77C37" w:rsidRDefault="00204E95">
      <w:pPr>
        <w:spacing w:before="0" w:line="240" w:lineRule="auto"/>
        <w:ind w:left="0" w:right="0"/>
        <w:jc w:val="center"/>
        <w:rPr>
          <w:rFonts w:eastAsia="Calibri"/>
          <w:b/>
          <w:bCs/>
          <w:color w:val="1F3864"/>
          <w:sz w:val="28"/>
          <w:szCs w:val="28"/>
          <w:u w:val="single"/>
        </w:rPr>
      </w:pPr>
      <w:bookmarkStart w:id="1" w:name="_Toc127285858"/>
      <w:r>
        <w:rPr>
          <w:rFonts w:eastAsia="Calibri"/>
          <w:b/>
          <w:bCs/>
          <w:color w:val="1F3864" w:themeColor="accent1" w:themeShade="80"/>
          <w:sz w:val="28"/>
          <w:szCs w:val="28"/>
          <w:u w:val="single"/>
        </w:rPr>
        <w:lastRenderedPageBreak/>
        <w:t>INDICE</w:t>
      </w:r>
    </w:p>
    <w:sdt>
      <w:sdtPr>
        <w:rPr>
          <w:b w:val="0"/>
          <w:bCs w:val="0"/>
          <w:caps w:val="0"/>
          <w:sz w:val="18"/>
          <w:szCs w:val="18"/>
        </w:rPr>
        <w:id w:val="1598446153"/>
        <w:docPartObj>
          <w:docPartGallery w:val="Table of Contents"/>
          <w:docPartUnique/>
        </w:docPartObj>
      </w:sdtPr>
      <w:sdtContent>
        <w:p w14:paraId="45118800" w14:textId="4108207D" w:rsidR="001E0390" w:rsidRDefault="00204E95">
          <w:pPr>
            <w:pStyle w:val="Sommario1"/>
            <w:tabs>
              <w:tab w:val="right" w:leader="dot" w:pos="9016"/>
            </w:tabs>
            <w:rPr>
              <w:rFonts w:eastAsiaTheme="minorEastAsia" w:cstheme="minorBidi"/>
              <w:b w:val="0"/>
              <w:bCs w:val="0"/>
              <w:caps w:val="0"/>
              <w:noProof/>
              <w:kern w:val="2"/>
              <w:sz w:val="22"/>
              <w:szCs w:val="22"/>
              <w:lang w:eastAsia="it-IT"/>
              <w14:ligatures w14:val="standardContextual"/>
            </w:rPr>
          </w:pPr>
          <w:r>
            <w:fldChar w:fldCharType="begin"/>
          </w:r>
          <w:r>
            <w:rPr>
              <w:rStyle w:val="Saltoaindice"/>
              <w:rFonts w:eastAsia="Calibri"/>
              <w:webHidden/>
            </w:rPr>
            <w:instrText xml:space="preserve"> TOC \z \o "1-7" \h</w:instrText>
          </w:r>
          <w:r>
            <w:rPr>
              <w:rStyle w:val="Saltoaindice"/>
              <w:rFonts w:eastAsia="Calibri"/>
            </w:rPr>
            <w:fldChar w:fldCharType="separate"/>
          </w:r>
          <w:hyperlink w:anchor="_Toc157008322" w:history="1">
            <w:r w:rsidR="001E0390" w:rsidRPr="00A76162">
              <w:rPr>
                <w:rStyle w:val="Collegamentoipertestuale"/>
                <w:rFonts w:eastAsia="Calibri"/>
                <w:noProof/>
              </w:rPr>
              <w:t>PARTE I</w:t>
            </w:r>
            <w:r w:rsidR="001E0390" w:rsidRPr="00A76162">
              <w:rPr>
                <w:rStyle w:val="Collegamentoipertestuale"/>
                <w:rFonts w:eastAsia="Calibri"/>
                <w:noProof/>
                <w:vertAlign w:val="superscript"/>
              </w:rPr>
              <w:t>a</w:t>
            </w:r>
            <w:r w:rsidR="001E0390" w:rsidRPr="00A76162">
              <w:rPr>
                <w:rStyle w:val="Collegamentoipertestuale"/>
                <w:rFonts w:eastAsia="Calibri"/>
                <w:noProof/>
              </w:rPr>
              <w:t xml:space="preserve"> - IL PIANO TRIENNALE</w:t>
            </w:r>
            <w:r w:rsidR="001E0390">
              <w:rPr>
                <w:noProof/>
                <w:webHidden/>
              </w:rPr>
              <w:tab/>
            </w:r>
            <w:r w:rsidR="001E0390">
              <w:rPr>
                <w:noProof/>
                <w:webHidden/>
              </w:rPr>
              <w:fldChar w:fldCharType="begin"/>
            </w:r>
            <w:r w:rsidR="001E0390">
              <w:rPr>
                <w:noProof/>
                <w:webHidden/>
              </w:rPr>
              <w:instrText xml:space="preserve"> PAGEREF _Toc157008322 \h </w:instrText>
            </w:r>
            <w:r w:rsidR="001E0390">
              <w:rPr>
                <w:noProof/>
                <w:webHidden/>
              </w:rPr>
            </w:r>
            <w:r w:rsidR="001E0390">
              <w:rPr>
                <w:noProof/>
                <w:webHidden/>
              </w:rPr>
              <w:fldChar w:fldCharType="separate"/>
            </w:r>
            <w:r w:rsidR="001E0390">
              <w:rPr>
                <w:noProof/>
                <w:webHidden/>
              </w:rPr>
              <w:t>4</w:t>
            </w:r>
            <w:r w:rsidR="001E0390">
              <w:rPr>
                <w:noProof/>
                <w:webHidden/>
              </w:rPr>
              <w:fldChar w:fldCharType="end"/>
            </w:r>
          </w:hyperlink>
        </w:p>
        <w:p w14:paraId="4C9B3630" w14:textId="2327DE80"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23" w:history="1">
            <w:r w:rsidR="001E0390" w:rsidRPr="00A76162">
              <w:rPr>
                <w:rStyle w:val="Collegamentoipertestuale"/>
                <w:noProof/>
              </w:rPr>
              <w:t>Premessa</w:t>
            </w:r>
            <w:r w:rsidR="001E0390">
              <w:rPr>
                <w:noProof/>
                <w:webHidden/>
              </w:rPr>
              <w:tab/>
            </w:r>
            <w:r w:rsidR="001E0390">
              <w:rPr>
                <w:noProof/>
                <w:webHidden/>
              </w:rPr>
              <w:fldChar w:fldCharType="begin"/>
            </w:r>
            <w:r w:rsidR="001E0390">
              <w:rPr>
                <w:noProof/>
                <w:webHidden/>
              </w:rPr>
              <w:instrText xml:space="preserve"> PAGEREF _Toc157008323 \h </w:instrText>
            </w:r>
            <w:r w:rsidR="001E0390">
              <w:rPr>
                <w:noProof/>
                <w:webHidden/>
              </w:rPr>
            </w:r>
            <w:r w:rsidR="001E0390">
              <w:rPr>
                <w:noProof/>
                <w:webHidden/>
              </w:rPr>
              <w:fldChar w:fldCharType="separate"/>
            </w:r>
            <w:r w:rsidR="001E0390">
              <w:rPr>
                <w:noProof/>
                <w:webHidden/>
              </w:rPr>
              <w:t>4</w:t>
            </w:r>
            <w:r w:rsidR="001E0390">
              <w:rPr>
                <w:noProof/>
                <w:webHidden/>
              </w:rPr>
              <w:fldChar w:fldCharType="end"/>
            </w:r>
          </w:hyperlink>
        </w:p>
        <w:p w14:paraId="797AAAD9" w14:textId="36898873"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24" w:history="1">
            <w:r w:rsidR="001E0390" w:rsidRPr="00A76162">
              <w:rPr>
                <w:rStyle w:val="Collegamentoipertestuale"/>
                <w:noProof/>
              </w:rPr>
              <w:t>Acronimi, abbreviazioni e definizioni</w:t>
            </w:r>
            <w:r w:rsidR="001E0390">
              <w:rPr>
                <w:noProof/>
                <w:webHidden/>
              </w:rPr>
              <w:tab/>
            </w:r>
            <w:r w:rsidR="001E0390">
              <w:rPr>
                <w:noProof/>
                <w:webHidden/>
              </w:rPr>
              <w:fldChar w:fldCharType="begin"/>
            </w:r>
            <w:r w:rsidR="001E0390">
              <w:rPr>
                <w:noProof/>
                <w:webHidden/>
              </w:rPr>
              <w:instrText xml:space="preserve"> PAGEREF _Toc157008324 \h </w:instrText>
            </w:r>
            <w:r w:rsidR="001E0390">
              <w:rPr>
                <w:noProof/>
                <w:webHidden/>
              </w:rPr>
            </w:r>
            <w:r w:rsidR="001E0390">
              <w:rPr>
                <w:noProof/>
                <w:webHidden/>
              </w:rPr>
              <w:fldChar w:fldCharType="separate"/>
            </w:r>
            <w:r w:rsidR="001E0390">
              <w:rPr>
                <w:noProof/>
                <w:webHidden/>
              </w:rPr>
              <w:t>7</w:t>
            </w:r>
            <w:r w:rsidR="001E0390">
              <w:rPr>
                <w:noProof/>
                <w:webHidden/>
              </w:rPr>
              <w:fldChar w:fldCharType="end"/>
            </w:r>
          </w:hyperlink>
        </w:p>
        <w:p w14:paraId="71F937BF" w14:textId="63F60E32"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25" w:history="1">
            <w:r w:rsidR="001E0390" w:rsidRPr="00A76162">
              <w:rPr>
                <w:rStyle w:val="Collegamentoipertestuale"/>
                <w:noProof/>
              </w:rPr>
              <w:t>Contesto Strategico e Principi guida</w:t>
            </w:r>
            <w:r w:rsidR="001E0390">
              <w:rPr>
                <w:noProof/>
                <w:webHidden/>
              </w:rPr>
              <w:tab/>
            </w:r>
            <w:r w:rsidR="001E0390">
              <w:rPr>
                <w:noProof/>
                <w:webHidden/>
              </w:rPr>
              <w:fldChar w:fldCharType="begin"/>
            </w:r>
            <w:r w:rsidR="001E0390">
              <w:rPr>
                <w:noProof/>
                <w:webHidden/>
              </w:rPr>
              <w:instrText xml:space="preserve"> PAGEREF _Toc157008325 \h </w:instrText>
            </w:r>
            <w:r w:rsidR="001E0390">
              <w:rPr>
                <w:noProof/>
                <w:webHidden/>
              </w:rPr>
            </w:r>
            <w:r w:rsidR="001E0390">
              <w:rPr>
                <w:noProof/>
                <w:webHidden/>
              </w:rPr>
              <w:fldChar w:fldCharType="separate"/>
            </w:r>
            <w:r w:rsidR="001E0390">
              <w:rPr>
                <w:noProof/>
                <w:webHidden/>
              </w:rPr>
              <w:t>8</w:t>
            </w:r>
            <w:r w:rsidR="001E0390">
              <w:rPr>
                <w:noProof/>
                <w:webHidden/>
              </w:rPr>
              <w:fldChar w:fldCharType="end"/>
            </w:r>
          </w:hyperlink>
        </w:p>
        <w:p w14:paraId="00DC9067" w14:textId="1D98CF1A"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26" w:history="1">
            <w:r w:rsidR="001E0390" w:rsidRPr="00A76162">
              <w:rPr>
                <w:rStyle w:val="Collegamentoipertestuale"/>
                <w:noProof/>
              </w:rPr>
              <w:t>Strategia</w:t>
            </w:r>
            <w:r w:rsidR="001E0390">
              <w:rPr>
                <w:noProof/>
                <w:webHidden/>
              </w:rPr>
              <w:tab/>
            </w:r>
            <w:r w:rsidR="001E0390">
              <w:rPr>
                <w:noProof/>
                <w:webHidden/>
              </w:rPr>
              <w:fldChar w:fldCharType="begin"/>
            </w:r>
            <w:r w:rsidR="001E0390">
              <w:rPr>
                <w:noProof/>
                <w:webHidden/>
              </w:rPr>
              <w:instrText xml:space="preserve"> PAGEREF _Toc157008326 \h </w:instrText>
            </w:r>
            <w:r w:rsidR="001E0390">
              <w:rPr>
                <w:noProof/>
                <w:webHidden/>
              </w:rPr>
            </w:r>
            <w:r w:rsidR="001E0390">
              <w:rPr>
                <w:noProof/>
                <w:webHidden/>
              </w:rPr>
              <w:fldChar w:fldCharType="separate"/>
            </w:r>
            <w:r w:rsidR="001E0390">
              <w:rPr>
                <w:noProof/>
                <w:webHidden/>
              </w:rPr>
              <w:t>8</w:t>
            </w:r>
            <w:r w:rsidR="001E0390">
              <w:rPr>
                <w:noProof/>
                <w:webHidden/>
              </w:rPr>
              <w:fldChar w:fldCharType="end"/>
            </w:r>
          </w:hyperlink>
        </w:p>
        <w:p w14:paraId="289C7631" w14:textId="5A5337C1"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27" w:history="1">
            <w:r w:rsidR="001E0390" w:rsidRPr="00A76162">
              <w:rPr>
                <w:rStyle w:val="Collegamentoipertestuale"/>
                <w:noProof/>
              </w:rPr>
              <w:t>Principi Guida</w:t>
            </w:r>
            <w:r w:rsidR="001E0390">
              <w:rPr>
                <w:noProof/>
                <w:webHidden/>
              </w:rPr>
              <w:tab/>
            </w:r>
            <w:r w:rsidR="001E0390">
              <w:rPr>
                <w:noProof/>
                <w:webHidden/>
              </w:rPr>
              <w:fldChar w:fldCharType="begin"/>
            </w:r>
            <w:r w:rsidR="001E0390">
              <w:rPr>
                <w:noProof/>
                <w:webHidden/>
              </w:rPr>
              <w:instrText xml:space="preserve"> PAGEREF _Toc157008327 \h </w:instrText>
            </w:r>
            <w:r w:rsidR="001E0390">
              <w:rPr>
                <w:noProof/>
                <w:webHidden/>
              </w:rPr>
            </w:r>
            <w:r w:rsidR="001E0390">
              <w:rPr>
                <w:noProof/>
                <w:webHidden/>
              </w:rPr>
              <w:fldChar w:fldCharType="separate"/>
            </w:r>
            <w:r w:rsidR="001E0390">
              <w:rPr>
                <w:noProof/>
                <w:webHidden/>
              </w:rPr>
              <w:t>8</w:t>
            </w:r>
            <w:r w:rsidR="001E0390">
              <w:rPr>
                <w:noProof/>
                <w:webHidden/>
              </w:rPr>
              <w:fldChar w:fldCharType="end"/>
            </w:r>
          </w:hyperlink>
        </w:p>
        <w:p w14:paraId="156F072D" w14:textId="6FDDE84B"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28" w:history="1">
            <w:r w:rsidR="001E0390" w:rsidRPr="00A76162">
              <w:rPr>
                <w:rStyle w:val="Collegamentoipertestuale"/>
                <w:noProof/>
              </w:rPr>
              <w:t>Attori coinvolti nel progetto</w:t>
            </w:r>
            <w:r w:rsidR="001E0390">
              <w:rPr>
                <w:noProof/>
                <w:webHidden/>
              </w:rPr>
              <w:tab/>
            </w:r>
            <w:r w:rsidR="001E0390">
              <w:rPr>
                <w:noProof/>
                <w:webHidden/>
              </w:rPr>
              <w:fldChar w:fldCharType="begin"/>
            </w:r>
            <w:r w:rsidR="001E0390">
              <w:rPr>
                <w:noProof/>
                <w:webHidden/>
              </w:rPr>
              <w:instrText xml:space="preserve"> PAGEREF _Toc157008328 \h </w:instrText>
            </w:r>
            <w:r w:rsidR="001E0390">
              <w:rPr>
                <w:noProof/>
                <w:webHidden/>
              </w:rPr>
            </w:r>
            <w:r w:rsidR="001E0390">
              <w:rPr>
                <w:noProof/>
                <w:webHidden/>
              </w:rPr>
              <w:fldChar w:fldCharType="separate"/>
            </w:r>
            <w:r w:rsidR="001E0390">
              <w:rPr>
                <w:noProof/>
                <w:webHidden/>
              </w:rPr>
              <w:t>10</w:t>
            </w:r>
            <w:r w:rsidR="001E0390">
              <w:rPr>
                <w:noProof/>
                <w:webHidden/>
              </w:rPr>
              <w:fldChar w:fldCharType="end"/>
            </w:r>
          </w:hyperlink>
        </w:p>
        <w:p w14:paraId="5F73125D" w14:textId="71437514"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29" w:history="1">
            <w:r w:rsidR="001E0390" w:rsidRPr="00A76162">
              <w:rPr>
                <w:rStyle w:val="Collegamentoipertestuale"/>
                <w:noProof/>
              </w:rPr>
              <w:t>Team di progetto</w:t>
            </w:r>
            <w:r w:rsidR="001E0390">
              <w:rPr>
                <w:noProof/>
                <w:webHidden/>
              </w:rPr>
              <w:tab/>
            </w:r>
            <w:r w:rsidR="001E0390">
              <w:rPr>
                <w:noProof/>
                <w:webHidden/>
              </w:rPr>
              <w:fldChar w:fldCharType="begin"/>
            </w:r>
            <w:r w:rsidR="001E0390">
              <w:rPr>
                <w:noProof/>
                <w:webHidden/>
              </w:rPr>
              <w:instrText xml:space="preserve"> PAGEREF _Toc157008329 \h </w:instrText>
            </w:r>
            <w:r w:rsidR="001E0390">
              <w:rPr>
                <w:noProof/>
                <w:webHidden/>
              </w:rPr>
            </w:r>
            <w:r w:rsidR="001E0390">
              <w:rPr>
                <w:noProof/>
                <w:webHidden/>
              </w:rPr>
              <w:fldChar w:fldCharType="separate"/>
            </w:r>
            <w:r w:rsidR="001E0390">
              <w:rPr>
                <w:noProof/>
                <w:webHidden/>
              </w:rPr>
              <w:t>10</w:t>
            </w:r>
            <w:r w:rsidR="001E0390">
              <w:rPr>
                <w:noProof/>
                <w:webHidden/>
              </w:rPr>
              <w:fldChar w:fldCharType="end"/>
            </w:r>
          </w:hyperlink>
        </w:p>
        <w:p w14:paraId="5C946724" w14:textId="6B82A8CD"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30" w:history="1">
            <w:r w:rsidR="001E0390" w:rsidRPr="00A76162">
              <w:rPr>
                <w:rStyle w:val="Collegamentoipertestuale"/>
                <w:noProof/>
              </w:rPr>
              <w:t>Ruolo del Responsabile per la Transizione al Digitale</w:t>
            </w:r>
            <w:r w:rsidR="001E0390">
              <w:rPr>
                <w:noProof/>
                <w:webHidden/>
              </w:rPr>
              <w:tab/>
            </w:r>
            <w:r w:rsidR="001E0390">
              <w:rPr>
                <w:noProof/>
                <w:webHidden/>
              </w:rPr>
              <w:fldChar w:fldCharType="begin"/>
            </w:r>
            <w:r w:rsidR="001E0390">
              <w:rPr>
                <w:noProof/>
                <w:webHidden/>
              </w:rPr>
              <w:instrText xml:space="preserve"> PAGEREF _Toc157008330 \h </w:instrText>
            </w:r>
            <w:r w:rsidR="001E0390">
              <w:rPr>
                <w:noProof/>
                <w:webHidden/>
              </w:rPr>
            </w:r>
            <w:r w:rsidR="001E0390">
              <w:rPr>
                <w:noProof/>
                <w:webHidden/>
              </w:rPr>
              <w:fldChar w:fldCharType="separate"/>
            </w:r>
            <w:r w:rsidR="001E0390">
              <w:rPr>
                <w:noProof/>
                <w:webHidden/>
              </w:rPr>
              <w:t>10</w:t>
            </w:r>
            <w:r w:rsidR="001E0390">
              <w:rPr>
                <w:noProof/>
                <w:webHidden/>
              </w:rPr>
              <w:fldChar w:fldCharType="end"/>
            </w:r>
          </w:hyperlink>
        </w:p>
        <w:p w14:paraId="4445C112" w14:textId="00AE35C3"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31" w:history="1">
            <w:r w:rsidR="001E0390" w:rsidRPr="00A76162">
              <w:rPr>
                <w:rStyle w:val="Collegamentoipertestuale"/>
                <w:noProof/>
              </w:rPr>
              <w:t>Amministrazione</w:t>
            </w:r>
            <w:r w:rsidR="001E0390">
              <w:rPr>
                <w:noProof/>
                <w:webHidden/>
              </w:rPr>
              <w:tab/>
            </w:r>
            <w:r w:rsidR="001E0390">
              <w:rPr>
                <w:noProof/>
                <w:webHidden/>
              </w:rPr>
              <w:fldChar w:fldCharType="begin"/>
            </w:r>
            <w:r w:rsidR="001E0390">
              <w:rPr>
                <w:noProof/>
                <w:webHidden/>
              </w:rPr>
              <w:instrText xml:space="preserve"> PAGEREF _Toc157008331 \h </w:instrText>
            </w:r>
            <w:r w:rsidR="001E0390">
              <w:rPr>
                <w:noProof/>
                <w:webHidden/>
              </w:rPr>
            </w:r>
            <w:r w:rsidR="001E0390">
              <w:rPr>
                <w:noProof/>
                <w:webHidden/>
              </w:rPr>
              <w:fldChar w:fldCharType="separate"/>
            </w:r>
            <w:r w:rsidR="001E0390">
              <w:rPr>
                <w:noProof/>
                <w:webHidden/>
              </w:rPr>
              <w:t>10</w:t>
            </w:r>
            <w:r w:rsidR="001E0390">
              <w:rPr>
                <w:noProof/>
                <w:webHidden/>
              </w:rPr>
              <w:fldChar w:fldCharType="end"/>
            </w:r>
          </w:hyperlink>
        </w:p>
        <w:p w14:paraId="430CA615" w14:textId="2ECF95D9"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32" w:history="1">
            <w:r w:rsidR="001E0390" w:rsidRPr="00A76162">
              <w:rPr>
                <w:rStyle w:val="Collegamentoipertestuale"/>
                <w:noProof/>
              </w:rPr>
              <w:t>Obiettivi e Spesa complessiva prevista</w:t>
            </w:r>
            <w:r w:rsidR="001E0390">
              <w:rPr>
                <w:noProof/>
                <w:webHidden/>
              </w:rPr>
              <w:tab/>
            </w:r>
            <w:r w:rsidR="001E0390">
              <w:rPr>
                <w:noProof/>
                <w:webHidden/>
              </w:rPr>
              <w:fldChar w:fldCharType="begin"/>
            </w:r>
            <w:r w:rsidR="001E0390">
              <w:rPr>
                <w:noProof/>
                <w:webHidden/>
              </w:rPr>
              <w:instrText xml:space="preserve"> PAGEREF _Toc157008332 \h </w:instrText>
            </w:r>
            <w:r w:rsidR="001E0390">
              <w:rPr>
                <w:noProof/>
                <w:webHidden/>
              </w:rPr>
            </w:r>
            <w:r w:rsidR="001E0390">
              <w:rPr>
                <w:noProof/>
                <w:webHidden/>
              </w:rPr>
              <w:fldChar w:fldCharType="separate"/>
            </w:r>
            <w:r w:rsidR="001E0390">
              <w:rPr>
                <w:noProof/>
                <w:webHidden/>
              </w:rPr>
              <w:t>12</w:t>
            </w:r>
            <w:r w:rsidR="001E0390">
              <w:rPr>
                <w:noProof/>
                <w:webHidden/>
              </w:rPr>
              <w:fldChar w:fldCharType="end"/>
            </w:r>
          </w:hyperlink>
        </w:p>
        <w:p w14:paraId="574C4599" w14:textId="0803AB3F" w:rsidR="001E0390" w:rsidRDefault="00000000">
          <w:pPr>
            <w:pStyle w:val="Sommario1"/>
            <w:tabs>
              <w:tab w:val="right" w:leader="dot" w:pos="9016"/>
            </w:tabs>
            <w:rPr>
              <w:rFonts w:eastAsiaTheme="minorEastAsia" w:cstheme="minorBidi"/>
              <w:b w:val="0"/>
              <w:bCs w:val="0"/>
              <w:caps w:val="0"/>
              <w:noProof/>
              <w:kern w:val="2"/>
              <w:sz w:val="22"/>
              <w:szCs w:val="22"/>
              <w:lang w:eastAsia="it-IT"/>
              <w14:ligatures w14:val="standardContextual"/>
            </w:rPr>
          </w:pPr>
          <w:hyperlink w:anchor="_Toc157008333" w:history="1">
            <w:r w:rsidR="001E0390" w:rsidRPr="00A76162">
              <w:rPr>
                <w:rStyle w:val="Collegamentoipertestuale"/>
                <w:rFonts w:eastAsia="Calibri"/>
                <w:noProof/>
              </w:rPr>
              <w:t>PARTE II</w:t>
            </w:r>
            <w:r w:rsidR="001E0390" w:rsidRPr="00A76162">
              <w:rPr>
                <w:rStyle w:val="Collegamentoipertestuale"/>
                <w:rFonts w:eastAsia="Calibri"/>
                <w:noProof/>
                <w:vertAlign w:val="superscript"/>
              </w:rPr>
              <w:t>a</w:t>
            </w:r>
            <w:r w:rsidR="001E0390" w:rsidRPr="00A76162">
              <w:rPr>
                <w:rStyle w:val="Collegamentoipertestuale"/>
                <w:rFonts w:eastAsia="Calibri"/>
                <w:noProof/>
              </w:rPr>
              <w:t xml:space="preserve"> – LE COMPONENTI TECNOLOGICHE</w:t>
            </w:r>
            <w:r w:rsidR="001E0390">
              <w:rPr>
                <w:noProof/>
                <w:webHidden/>
              </w:rPr>
              <w:tab/>
            </w:r>
            <w:r w:rsidR="001E0390">
              <w:rPr>
                <w:noProof/>
                <w:webHidden/>
              </w:rPr>
              <w:fldChar w:fldCharType="begin"/>
            </w:r>
            <w:r w:rsidR="001E0390">
              <w:rPr>
                <w:noProof/>
                <w:webHidden/>
              </w:rPr>
              <w:instrText xml:space="preserve"> PAGEREF _Toc157008333 \h </w:instrText>
            </w:r>
            <w:r w:rsidR="001E0390">
              <w:rPr>
                <w:noProof/>
                <w:webHidden/>
              </w:rPr>
            </w:r>
            <w:r w:rsidR="001E0390">
              <w:rPr>
                <w:noProof/>
                <w:webHidden/>
              </w:rPr>
              <w:fldChar w:fldCharType="separate"/>
            </w:r>
            <w:r w:rsidR="001E0390">
              <w:rPr>
                <w:noProof/>
                <w:webHidden/>
              </w:rPr>
              <w:t>13</w:t>
            </w:r>
            <w:r w:rsidR="001E0390">
              <w:rPr>
                <w:noProof/>
                <w:webHidden/>
              </w:rPr>
              <w:fldChar w:fldCharType="end"/>
            </w:r>
          </w:hyperlink>
        </w:p>
        <w:p w14:paraId="2416F3D9" w14:textId="46578171"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34" w:history="1">
            <w:r w:rsidR="001E0390" w:rsidRPr="00A76162">
              <w:rPr>
                <w:rStyle w:val="Collegamentoipertestuale"/>
                <w:noProof/>
              </w:rPr>
              <w:t>Obiettivo dell’Amministrazione</w:t>
            </w:r>
            <w:r w:rsidR="001E0390">
              <w:rPr>
                <w:noProof/>
                <w:webHidden/>
              </w:rPr>
              <w:tab/>
            </w:r>
            <w:r w:rsidR="001E0390">
              <w:rPr>
                <w:noProof/>
                <w:webHidden/>
              </w:rPr>
              <w:fldChar w:fldCharType="begin"/>
            </w:r>
            <w:r w:rsidR="001E0390">
              <w:rPr>
                <w:noProof/>
                <w:webHidden/>
              </w:rPr>
              <w:instrText xml:space="preserve"> PAGEREF _Toc157008334 \h </w:instrText>
            </w:r>
            <w:r w:rsidR="001E0390">
              <w:rPr>
                <w:noProof/>
                <w:webHidden/>
              </w:rPr>
            </w:r>
            <w:r w:rsidR="001E0390">
              <w:rPr>
                <w:noProof/>
                <w:webHidden/>
              </w:rPr>
              <w:fldChar w:fldCharType="separate"/>
            </w:r>
            <w:r w:rsidR="001E0390">
              <w:rPr>
                <w:noProof/>
                <w:webHidden/>
              </w:rPr>
              <w:t>14</w:t>
            </w:r>
            <w:r w:rsidR="001E0390">
              <w:rPr>
                <w:noProof/>
                <w:webHidden/>
              </w:rPr>
              <w:fldChar w:fldCharType="end"/>
            </w:r>
          </w:hyperlink>
        </w:p>
        <w:p w14:paraId="1F958993" w14:textId="51A30995"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35" w:history="1">
            <w:r w:rsidR="001E0390" w:rsidRPr="00A76162">
              <w:rPr>
                <w:rStyle w:val="Collegamentoipertestuale"/>
                <w:noProof/>
              </w:rPr>
              <w:t>Ambito progettuale</w:t>
            </w:r>
            <w:r w:rsidR="001E0390">
              <w:rPr>
                <w:noProof/>
                <w:webHidden/>
              </w:rPr>
              <w:tab/>
            </w:r>
            <w:r w:rsidR="001E0390">
              <w:rPr>
                <w:noProof/>
                <w:webHidden/>
              </w:rPr>
              <w:fldChar w:fldCharType="begin"/>
            </w:r>
            <w:r w:rsidR="001E0390">
              <w:rPr>
                <w:noProof/>
                <w:webHidden/>
              </w:rPr>
              <w:instrText xml:space="preserve"> PAGEREF _Toc157008335 \h </w:instrText>
            </w:r>
            <w:r w:rsidR="001E0390">
              <w:rPr>
                <w:noProof/>
                <w:webHidden/>
              </w:rPr>
            </w:r>
            <w:r w:rsidR="001E0390">
              <w:rPr>
                <w:noProof/>
                <w:webHidden/>
              </w:rPr>
              <w:fldChar w:fldCharType="separate"/>
            </w:r>
            <w:r w:rsidR="001E0390">
              <w:rPr>
                <w:noProof/>
                <w:webHidden/>
              </w:rPr>
              <w:t>14</w:t>
            </w:r>
            <w:r w:rsidR="001E0390">
              <w:rPr>
                <w:noProof/>
                <w:webHidden/>
              </w:rPr>
              <w:fldChar w:fldCharType="end"/>
            </w:r>
          </w:hyperlink>
        </w:p>
        <w:p w14:paraId="46CB99A7" w14:textId="48FCF9E0"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36" w:history="1">
            <w:r w:rsidR="001E0390" w:rsidRPr="00A76162">
              <w:rPr>
                <w:rStyle w:val="Collegamentoipertestuale"/>
                <w:noProof/>
              </w:rPr>
              <w:t>Capitolo 1. Servizi</w:t>
            </w:r>
            <w:r w:rsidR="001E0390">
              <w:rPr>
                <w:noProof/>
                <w:webHidden/>
              </w:rPr>
              <w:tab/>
            </w:r>
            <w:r w:rsidR="001E0390">
              <w:rPr>
                <w:noProof/>
                <w:webHidden/>
              </w:rPr>
              <w:fldChar w:fldCharType="begin"/>
            </w:r>
            <w:r w:rsidR="001E0390">
              <w:rPr>
                <w:noProof/>
                <w:webHidden/>
              </w:rPr>
              <w:instrText xml:space="preserve"> PAGEREF _Toc157008336 \h </w:instrText>
            </w:r>
            <w:r w:rsidR="001E0390">
              <w:rPr>
                <w:noProof/>
                <w:webHidden/>
              </w:rPr>
            </w:r>
            <w:r w:rsidR="001E0390">
              <w:rPr>
                <w:noProof/>
                <w:webHidden/>
              </w:rPr>
              <w:fldChar w:fldCharType="separate"/>
            </w:r>
            <w:r w:rsidR="001E0390">
              <w:rPr>
                <w:noProof/>
                <w:webHidden/>
              </w:rPr>
              <w:t>15</w:t>
            </w:r>
            <w:r w:rsidR="001E0390">
              <w:rPr>
                <w:noProof/>
                <w:webHidden/>
              </w:rPr>
              <w:fldChar w:fldCharType="end"/>
            </w:r>
          </w:hyperlink>
        </w:p>
        <w:p w14:paraId="0BD27FED" w14:textId="4410676B"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37" w:history="1">
            <w:r w:rsidR="001E0390" w:rsidRPr="00A76162">
              <w:rPr>
                <w:rStyle w:val="Collegamentoipertestuale"/>
                <w:noProof/>
              </w:rPr>
              <w:t>Obiettivi dell’amministrazione e risultati attesi</w:t>
            </w:r>
            <w:r w:rsidR="001E0390">
              <w:rPr>
                <w:noProof/>
                <w:webHidden/>
              </w:rPr>
              <w:tab/>
            </w:r>
            <w:r w:rsidR="001E0390">
              <w:rPr>
                <w:noProof/>
                <w:webHidden/>
              </w:rPr>
              <w:fldChar w:fldCharType="begin"/>
            </w:r>
            <w:r w:rsidR="001E0390">
              <w:rPr>
                <w:noProof/>
                <w:webHidden/>
              </w:rPr>
              <w:instrText xml:space="preserve"> PAGEREF _Toc157008337 \h </w:instrText>
            </w:r>
            <w:r w:rsidR="001E0390">
              <w:rPr>
                <w:noProof/>
                <w:webHidden/>
              </w:rPr>
            </w:r>
            <w:r w:rsidR="001E0390">
              <w:rPr>
                <w:noProof/>
                <w:webHidden/>
              </w:rPr>
              <w:fldChar w:fldCharType="separate"/>
            </w:r>
            <w:r w:rsidR="001E0390">
              <w:rPr>
                <w:noProof/>
                <w:webHidden/>
              </w:rPr>
              <w:t>15</w:t>
            </w:r>
            <w:r w:rsidR="001E0390">
              <w:rPr>
                <w:noProof/>
                <w:webHidden/>
              </w:rPr>
              <w:fldChar w:fldCharType="end"/>
            </w:r>
          </w:hyperlink>
        </w:p>
        <w:p w14:paraId="25825BED" w14:textId="3A75D785"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38" w:history="1">
            <w:r w:rsidR="001E0390" w:rsidRPr="00A76162">
              <w:rPr>
                <w:rStyle w:val="Collegamentoipertestuale"/>
                <w:noProof/>
              </w:rPr>
              <w:t>Linee di azione di interesse per l’amministrazione</w:t>
            </w:r>
            <w:r w:rsidR="001E0390">
              <w:rPr>
                <w:noProof/>
                <w:webHidden/>
              </w:rPr>
              <w:tab/>
            </w:r>
            <w:r w:rsidR="001E0390">
              <w:rPr>
                <w:noProof/>
                <w:webHidden/>
              </w:rPr>
              <w:fldChar w:fldCharType="begin"/>
            </w:r>
            <w:r w:rsidR="001E0390">
              <w:rPr>
                <w:noProof/>
                <w:webHidden/>
              </w:rPr>
              <w:instrText xml:space="preserve"> PAGEREF _Toc157008338 \h </w:instrText>
            </w:r>
            <w:r w:rsidR="001E0390">
              <w:rPr>
                <w:noProof/>
                <w:webHidden/>
              </w:rPr>
            </w:r>
            <w:r w:rsidR="001E0390">
              <w:rPr>
                <w:noProof/>
                <w:webHidden/>
              </w:rPr>
              <w:fldChar w:fldCharType="separate"/>
            </w:r>
            <w:r w:rsidR="001E0390">
              <w:rPr>
                <w:noProof/>
                <w:webHidden/>
              </w:rPr>
              <w:t>15</w:t>
            </w:r>
            <w:r w:rsidR="001E0390">
              <w:rPr>
                <w:noProof/>
                <w:webHidden/>
              </w:rPr>
              <w:fldChar w:fldCharType="end"/>
            </w:r>
          </w:hyperlink>
        </w:p>
        <w:p w14:paraId="150D48C0" w14:textId="57A0A5FB"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39" w:history="1">
            <w:r w:rsidR="001E0390" w:rsidRPr="00A76162">
              <w:rPr>
                <w:rStyle w:val="Collegamentoipertestuale"/>
                <w:noProof/>
              </w:rPr>
              <w:t>Capitolo 2. Dati</w:t>
            </w:r>
            <w:r w:rsidR="001E0390">
              <w:rPr>
                <w:noProof/>
                <w:webHidden/>
              </w:rPr>
              <w:tab/>
            </w:r>
            <w:r w:rsidR="001E0390">
              <w:rPr>
                <w:noProof/>
                <w:webHidden/>
              </w:rPr>
              <w:fldChar w:fldCharType="begin"/>
            </w:r>
            <w:r w:rsidR="001E0390">
              <w:rPr>
                <w:noProof/>
                <w:webHidden/>
              </w:rPr>
              <w:instrText xml:space="preserve"> PAGEREF _Toc157008339 \h </w:instrText>
            </w:r>
            <w:r w:rsidR="001E0390">
              <w:rPr>
                <w:noProof/>
                <w:webHidden/>
              </w:rPr>
            </w:r>
            <w:r w:rsidR="001E0390">
              <w:rPr>
                <w:noProof/>
                <w:webHidden/>
              </w:rPr>
              <w:fldChar w:fldCharType="separate"/>
            </w:r>
            <w:r w:rsidR="001E0390">
              <w:rPr>
                <w:noProof/>
                <w:webHidden/>
              </w:rPr>
              <w:t>16</w:t>
            </w:r>
            <w:r w:rsidR="001E0390">
              <w:rPr>
                <w:noProof/>
                <w:webHidden/>
              </w:rPr>
              <w:fldChar w:fldCharType="end"/>
            </w:r>
          </w:hyperlink>
        </w:p>
        <w:p w14:paraId="39ACA353" w14:textId="3EE7640F"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40" w:history="1">
            <w:r w:rsidR="001E0390" w:rsidRPr="00A76162">
              <w:rPr>
                <w:rStyle w:val="Collegamentoipertestuale"/>
                <w:noProof/>
              </w:rPr>
              <w:t>Obiettivi dell’amministrazione e risultati attesi</w:t>
            </w:r>
            <w:r w:rsidR="001E0390">
              <w:rPr>
                <w:noProof/>
                <w:webHidden/>
              </w:rPr>
              <w:tab/>
            </w:r>
            <w:r w:rsidR="001E0390">
              <w:rPr>
                <w:noProof/>
                <w:webHidden/>
              </w:rPr>
              <w:fldChar w:fldCharType="begin"/>
            </w:r>
            <w:r w:rsidR="001E0390">
              <w:rPr>
                <w:noProof/>
                <w:webHidden/>
              </w:rPr>
              <w:instrText xml:space="preserve"> PAGEREF _Toc157008340 \h </w:instrText>
            </w:r>
            <w:r w:rsidR="001E0390">
              <w:rPr>
                <w:noProof/>
                <w:webHidden/>
              </w:rPr>
            </w:r>
            <w:r w:rsidR="001E0390">
              <w:rPr>
                <w:noProof/>
                <w:webHidden/>
              </w:rPr>
              <w:fldChar w:fldCharType="separate"/>
            </w:r>
            <w:r w:rsidR="001E0390">
              <w:rPr>
                <w:noProof/>
                <w:webHidden/>
              </w:rPr>
              <w:t>16</w:t>
            </w:r>
            <w:r w:rsidR="001E0390">
              <w:rPr>
                <w:noProof/>
                <w:webHidden/>
              </w:rPr>
              <w:fldChar w:fldCharType="end"/>
            </w:r>
          </w:hyperlink>
        </w:p>
        <w:p w14:paraId="2F027C1F" w14:textId="6B50312A"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41" w:history="1">
            <w:r w:rsidR="001E0390" w:rsidRPr="00A76162">
              <w:rPr>
                <w:rStyle w:val="Collegamentoipertestuale"/>
                <w:noProof/>
              </w:rPr>
              <w:t>Linee di azione di interesse per l’amministrazione</w:t>
            </w:r>
            <w:r w:rsidR="001E0390">
              <w:rPr>
                <w:noProof/>
                <w:webHidden/>
              </w:rPr>
              <w:tab/>
            </w:r>
            <w:r w:rsidR="001E0390">
              <w:rPr>
                <w:noProof/>
                <w:webHidden/>
              </w:rPr>
              <w:fldChar w:fldCharType="begin"/>
            </w:r>
            <w:r w:rsidR="001E0390">
              <w:rPr>
                <w:noProof/>
                <w:webHidden/>
              </w:rPr>
              <w:instrText xml:space="preserve"> PAGEREF _Toc157008341 \h </w:instrText>
            </w:r>
            <w:r w:rsidR="001E0390">
              <w:rPr>
                <w:noProof/>
                <w:webHidden/>
              </w:rPr>
            </w:r>
            <w:r w:rsidR="001E0390">
              <w:rPr>
                <w:noProof/>
                <w:webHidden/>
              </w:rPr>
              <w:fldChar w:fldCharType="separate"/>
            </w:r>
            <w:r w:rsidR="001E0390">
              <w:rPr>
                <w:noProof/>
                <w:webHidden/>
              </w:rPr>
              <w:t>16</w:t>
            </w:r>
            <w:r w:rsidR="001E0390">
              <w:rPr>
                <w:noProof/>
                <w:webHidden/>
              </w:rPr>
              <w:fldChar w:fldCharType="end"/>
            </w:r>
          </w:hyperlink>
        </w:p>
        <w:p w14:paraId="0D608A5B" w14:textId="0A1652A4"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42" w:history="1">
            <w:r w:rsidR="001E0390" w:rsidRPr="00A76162">
              <w:rPr>
                <w:rStyle w:val="Collegamentoipertestuale"/>
                <w:noProof/>
              </w:rPr>
              <w:t>Capitolo 3. Piattaforme</w:t>
            </w:r>
            <w:r w:rsidR="001E0390">
              <w:rPr>
                <w:noProof/>
                <w:webHidden/>
              </w:rPr>
              <w:tab/>
            </w:r>
            <w:r w:rsidR="001E0390">
              <w:rPr>
                <w:noProof/>
                <w:webHidden/>
              </w:rPr>
              <w:fldChar w:fldCharType="begin"/>
            </w:r>
            <w:r w:rsidR="001E0390">
              <w:rPr>
                <w:noProof/>
                <w:webHidden/>
              </w:rPr>
              <w:instrText xml:space="preserve"> PAGEREF _Toc157008342 \h </w:instrText>
            </w:r>
            <w:r w:rsidR="001E0390">
              <w:rPr>
                <w:noProof/>
                <w:webHidden/>
              </w:rPr>
            </w:r>
            <w:r w:rsidR="001E0390">
              <w:rPr>
                <w:noProof/>
                <w:webHidden/>
              </w:rPr>
              <w:fldChar w:fldCharType="separate"/>
            </w:r>
            <w:r w:rsidR="001E0390">
              <w:rPr>
                <w:noProof/>
                <w:webHidden/>
              </w:rPr>
              <w:t>17</w:t>
            </w:r>
            <w:r w:rsidR="001E0390">
              <w:rPr>
                <w:noProof/>
                <w:webHidden/>
              </w:rPr>
              <w:fldChar w:fldCharType="end"/>
            </w:r>
          </w:hyperlink>
        </w:p>
        <w:p w14:paraId="4BA87769" w14:textId="03BCDCED"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43" w:history="1">
            <w:r w:rsidR="001E0390" w:rsidRPr="00A76162">
              <w:rPr>
                <w:rStyle w:val="Collegamentoipertestuale"/>
                <w:noProof/>
              </w:rPr>
              <w:t>Obiettivi dell’amministrazione e risultati attesi</w:t>
            </w:r>
            <w:r w:rsidR="001E0390">
              <w:rPr>
                <w:noProof/>
                <w:webHidden/>
              </w:rPr>
              <w:tab/>
            </w:r>
            <w:r w:rsidR="001E0390">
              <w:rPr>
                <w:noProof/>
                <w:webHidden/>
              </w:rPr>
              <w:fldChar w:fldCharType="begin"/>
            </w:r>
            <w:r w:rsidR="001E0390">
              <w:rPr>
                <w:noProof/>
                <w:webHidden/>
              </w:rPr>
              <w:instrText xml:space="preserve"> PAGEREF _Toc157008343 \h </w:instrText>
            </w:r>
            <w:r w:rsidR="001E0390">
              <w:rPr>
                <w:noProof/>
                <w:webHidden/>
              </w:rPr>
            </w:r>
            <w:r w:rsidR="001E0390">
              <w:rPr>
                <w:noProof/>
                <w:webHidden/>
              </w:rPr>
              <w:fldChar w:fldCharType="separate"/>
            </w:r>
            <w:r w:rsidR="001E0390">
              <w:rPr>
                <w:noProof/>
                <w:webHidden/>
              </w:rPr>
              <w:t>18</w:t>
            </w:r>
            <w:r w:rsidR="001E0390">
              <w:rPr>
                <w:noProof/>
                <w:webHidden/>
              </w:rPr>
              <w:fldChar w:fldCharType="end"/>
            </w:r>
          </w:hyperlink>
        </w:p>
        <w:p w14:paraId="18F9D362" w14:textId="60DA43A0"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44" w:history="1">
            <w:r w:rsidR="001E0390" w:rsidRPr="00A76162">
              <w:rPr>
                <w:rStyle w:val="Collegamentoipertestuale"/>
                <w:noProof/>
              </w:rPr>
              <w:t>Linee di azione di interesse per l’amministrazione</w:t>
            </w:r>
            <w:r w:rsidR="001E0390">
              <w:rPr>
                <w:noProof/>
                <w:webHidden/>
              </w:rPr>
              <w:tab/>
            </w:r>
            <w:r w:rsidR="001E0390">
              <w:rPr>
                <w:noProof/>
                <w:webHidden/>
              </w:rPr>
              <w:fldChar w:fldCharType="begin"/>
            </w:r>
            <w:r w:rsidR="001E0390">
              <w:rPr>
                <w:noProof/>
                <w:webHidden/>
              </w:rPr>
              <w:instrText xml:space="preserve"> PAGEREF _Toc157008344 \h </w:instrText>
            </w:r>
            <w:r w:rsidR="001E0390">
              <w:rPr>
                <w:noProof/>
                <w:webHidden/>
              </w:rPr>
            </w:r>
            <w:r w:rsidR="001E0390">
              <w:rPr>
                <w:noProof/>
                <w:webHidden/>
              </w:rPr>
              <w:fldChar w:fldCharType="separate"/>
            </w:r>
            <w:r w:rsidR="001E0390">
              <w:rPr>
                <w:noProof/>
                <w:webHidden/>
              </w:rPr>
              <w:t>19</w:t>
            </w:r>
            <w:r w:rsidR="001E0390">
              <w:rPr>
                <w:noProof/>
                <w:webHidden/>
              </w:rPr>
              <w:fldChar w:fldCharType="end"/>
            </w:r>
          </w:hyperlink>
        </w:p>
        <w:p w14:paraId="432F2115" w14:textId="6BF5845B"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45" w:history="1">
            <w:r w:rsidR="001E0390" w:rsidRPr="00A76162">
              <w:rPr>
                <w:rStyle w:val="Collegamentoipertestuale"/>
                <w:noProof/>
              </w:rPr>
              <w:t>Capitolo 4. Infrastrutture</w:t>
            </w:r>
            <w:r w:rsidR="001E0390">
              <w:rPr>
                <w:noProof/>
                <w:webHidden/>
              </w:rPr>
              <w:tab/>
            </w:r>
            <w:r w:rsidR="001E0390">
              <w:rPr>
                <w:noProof/>
                <w:webHidden/>
              </w:rPr>
              <w:fldChar w:fldCharType="begin"/>
            </w:r>
            <w:r w:rsidR="001E0390">
              <w:rPr>
                <w:noProof/>
                <w:webHidden/>
              </w:rPr>
              <w:instrText xml:space="preserve"> PAGEREF _Toc157008345 \h </w:instrText>
            </w:r>
            <w:r w:rsidR="001E0390">
              <w:rPr>
                <w:noProof/>
                <w:webHidden/>
              </w:rPr>
            </w:r>
            <w:r w:rsidR="001E0390">
              <w:rPr>
                <w:noProof/>
                <w:webHidden/>
              </w:rPr>
              <w:fldChar w:fldCharType="separate"/>
            </w:r>
            <w:r w:rsidR="001E0390">
              <w:rPr>
                <w:noProof/>
                <w:webHidden/>
              </w:rPr>
              <w:t>20</w:t>
            </w:r>
            <w:r w:rsidR="001E0390">
              <w:rPr>
                <w:noProof/>
                <w:webHidden/>
              </w:rPr>
              <w:fldChar w:fldCharType="end"/>
            </w:r>
          </w:hyperlink>
        </w:p>
        <w:p w14:paraId="0214EB3D" w14:textId="36E52509"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46" w:history="1">
            <w:r w:rsidR="001E0390" w:rsidRPr="00A76162">
              <w:rPr>
                <w:rStyle w:val="Collegamentoipertestuale"/>
                <w:noProof/>
              </w:rPr>
              <w:t>Obiettivi dell’amministrazione e risultati attesi</w:t>
            </w:r>
            <w:r w:rsidR="001E0390">
              <w:rPr>
                <w:noProof/>
                <w:webHidden/>
              </w:rPr>
              <w:tab/>
            </w:r>
            <w:r w:rsidR="001E0390">
              <w:rPr>
                <w:noProof/>
                <w:webHidden/>
              </w:rPr>
              <w:fldChar w:fldCharType="begin"/>
            </w:r>
            <w:r w:rsidR="001E0390">
              <w:rPr>
                <w:noProof/>
                <w:webHidden/>
              </w:rPr>
              <w:instrText xml:space="preserve"> PAGEREF _Toc157008346 \h </w:instrText>
            </w:r>
            <w:r w:rsidR="001E0390">
              <w:rPr>
                <w:noProof/>
                <w:webHidden/>
              </w:rPr>
            </w:r>
            <w:r w:rsidR="001E0390">
              <w:rPr>
                <w:noProof/>
                <w:webHidden/>
              </w:rPr>
              <w:fldChar w:fldCharType="separate"/>
            </w:r>
            <w:r w:rsidR="001E0390">
              <w:rPr>
                <w:noProof/>
                <w:webHidden/>
              </w:rPr>
              <w:t>22</w:t>
            </w:r>
            <w:r w:rsidR="001E0390">
              <w:rPr>
                <w:noProof/>
                <w:webHidden/>
              </w:rPr>
              <w:fldChar w:fldCharType="end"/>
            </w:r>
          </w:hyperlink>
        </w:p>
        <w:p w14:paraId="77913702" w14:textId="6B897244"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47" w:history="1">
            <w:r w:rsidR="001E0390" w:rsidRPr="00A76162">
              <w:rPr>
                <w:rStyle w:val="Collegamentoipertestuale"/>
                <w:noProof/>
              </w:rPr>
              <w:t>Linee di azione di interesse per l’amministrazione</w:t>
            </w:r>
            <w:r w:rsidR="001E0390">
              <w:rPr>
                <w:noProof/>
                <w:webHidden/>
              </w:rPr>
              <w:tab/>
            </w:r>
            <w:r w:rsidR="001E0390">
              <w:rPr>
                <w:noProof/>
                <w:webHidden/>
              </w:rPr>
              <w:fldChar w:fldCharType="begin"/>
            </w:r>
            <w:r w:rsidR="001E0390">
              <w:rPr>
                <w:noProof/>
                <w:webHidden/>
              </w:rPr>
              <w:instrText xml:space="preserve"> PAGEREF _Toc157008347 \h </w:instrText>
            </w:r>
            <w:r w:rsidR="001E0390">
              <w:rPr>
                <w:noProof/>
                <w:webHidden/>
              </w:rPr>
            </w:r>
            <w:r w:rsidR="001E0390">
              <w:rPr>
                <w:noProof/>
                <w:webHidden/>
              </w:rPr>
              <w:fldChar w:fldCharType="separate"/>
            </w:r>
            <w:r w:rsidR="001E0390">
              <w:rPr>
                <w:noProof/>
                <w:webHidden/>
              </w:rPr>
              <w:t>22</w:t>
            </w:r>
            <w:r w:rsidR="001E0390">
              <w:rPr>
                <w:noProof/>
                <w:webHidden/>
              </w:rPr>
              <w:fldChar w:fldCharType="end"/>
            </w:r>
          </w:hyperlink>
        </w:p>
        <w:p w14:paraId="18F83C3F" w14:textId="4292B6C2"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48" w:history="1">
            <w:r w:rsidR="001E0390" w:rsidRPr="00A76162">
              <w:rPr>
                <w:rStyle w:val="Collegamentoipertestuale"/>
                <w:noProof/>
              </w:rPr>
              <w:t>Capitolo 5. Interoperabilità</w:t>
            </w:r>
            <w:r w:rsidR="001E0390">
              <w:rPr>
                <w:noProof/>
                <w:webHidden/>
              </w:rPr>
              <w:tab/>
            </w:r>
            <w:r w:rsidR="001E0390">
              <w:rPr>
                <w:noProof/>
                <w:webHidden/>
              </w:rPr>
              <w:fldChar w:fldCharType="begin"/>
            </w:r>
            <w:r w:rsidR="001E0390">
              <w:rPr>
                <w:noProof/>
                <w:webHidden/>
              </w:rPr>
              <w:instrText xml:space="preserve"> PAGEREF _Toc157008348 \h </w:instrText>
            </w:r>
            <w:r w:rsidR="001E0390">
              <w:rPr>
                <w:noProof/>
                <w:webHidden/>
              </w:rPr>
            </w:r>
            <w:r w:rsidR="001E0390">
              <w:rPr>
                <w:noProof/>
                <w:webHidden/>
              </w:rPr>
              <w:fldChar w:fldCharType="separate"/>
            </w:r>
            <w:r w:rsidR="001E0390">
              <w:rPr>
                <w:noProof/>
                <w:webHidden/>
              </w:rPr>
              <w:t>23</w:t>
            </w:r>
            <w:r w:rsidR="001E0390">
              <w:rPr>
                <w:noProof/>
                <w:webHidden/>
              </w:rPr>
              <w:fldChar w:fldCharType="end"/>
            </w:r>
          </w:hyperlink>
        </w:p>
        <w:p w14:paraId="062BF250" w14:textId="16F467D2"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49" w:history="1">
            <w:r w:rsidR="001E0390" w:rsidRPr="00A76162">
              <w:rPr>
                <w:rStyle w:val="Collegamentoipertestuale"/>
                <w:noProof/>
              </w:rPr>
              <w:t>Obiettivi dell’amministrazione e risultati attesi</w:t>
            </w:r>
            <w:r w:rsidR="001E0390">
              <w:rPr>
                <w:noProof/>
                <w:webHidden/>
              </w:rPr>
              <w:tab/>
            </w:r>
            <w:r w:rsidR="001E0390">
              <w:rPr>
                <w:noProof/>
                <w:webHidden/>
              </w:rPr>
              <w:fldChar w:fldCharType="begin"/>
            </w:r>
            <w:r w:rsidR="001E0390">
              <w:rPr>
                <w:noProof/>
                <w:webHidden/>
              </w:rPr>
              <w:instrText xml:space="preserve"> PAGEREF _Toc157008349 \h </w:instrText>
            </w:r>
            <w:r w:rsidR="001E0390">
              <w:rPr>
                <w:noProof/>
                <w:webHidden/>
              </w:rPr>
            </w:r>
            <w:r w:rsidR="001E0390">
              <w:rPr>
                <w:noProof/>
                <w:webHidden/>
              </w:rPr>
              <w:fldChar w:fldCharType="separate"/>
            </w:r>
            <w:r w:rsidR="001E0390">
              <w:rPr>
                <w:noProof/>
                <w:webHidden/>
              </w:rPr>
              <w:t>25</w:t>
            </w:r>
            <w:r w:rsidR="001E0390">
              <w:rPr>
                <w:noProof/>
                <w:webHidden/>
              </w:rPr>
              <w:fldChar w:fldCharType="end"/>
            </w:r>
          </w:hyperlink>
        </w:p>
        <w:p w14:paraId="5EFBAE18" w14:textId="0AEF4973"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50" w:history="1">
            <w:r w:rsidR="001E0390" w:rsidRPr="00A76162">
              <w:rPr>
                <w:rStyle w:val="Collegamentoipertestuale"/>
                <w:noProof/>
              </w:rPr>
              <w:t>Linee di azione di interesse per l’amministrazione</w:t>
            </w:r>
            <w:r w:rsidR="001E0390">
              <w:rPr>
                <w:noProof/>
                <w:webHidden/>
              </w:rPr>
              <w:tab/>
            </w:r>
            <w:r w:rsidR="001E0390">
              <w:rPr>
                <w:noProof/>
                <w:webHidden/>
              </w:rPr>
              <w:fldChar w:fldCharType="begin"/>
            </w:r>
            <w:r w:rsidR="001E0390">
              <w:rPr>
                <w:noProof/>
                <w:webHidden/>
              </w:rPr>
              <w:instrText xml:space="preserve"> PAGEREF _Toc157008350 \h </w:instrText>
            </w:r>
            <w:r w:rsidR="001E0390">
              <w:rPr>
                <w:noProof/>
                <w:webHidden/>
              </w:rPr>
            </w:r>
            <w:r w:rsidR="001E0390">
              <w:rPr>
                <w:noProof/>
                <w:webHidden/>
              </w:rPr>
              <w:fldChar w:fldCharType="separate"/>
            </w:r>
            <w:r w:rsidR="001E0390">
              <w:rPr>
                <w:noProof/>
                <w:webHidden/>
              </w:rPr>
              <w:t>25</w:t>
            </w:r>
            <w:r w:rsidR="001E0390">
              <w:rPr>
                <w:noProof/>
                <w:webHidden/>
              </w:rPr>
              <w:fldChar w:fldCharType="end"/>
            </w:r>
          </w:hyperlink>
        </w:p>
        <w:p w14:paraId="7852B00C" w14:textId="730F6F36"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51" w:history="1">
            <w:r w:rsidR="001E0390" w:rsidRPr="00A76162">
              <w:rPr>
                <w:rStyle w:val="Collegamentoipertestuale"/>
                <w:noProof/>
              </w:rPr>
              <w:t>Capitolo 6. Sicurezza Informatica</w:t>
            </w:r>
            <w:r w:rsidR="001E0390">
              <w:rPr>
                <w:noProof/>
                <w:webHidden/>
              </w:rPr>
              <w:tab/>
            </w:r>
            <w:r w:rsidR="001E0390">
              <w:rPr>
                <w:noProof/>
                <w:webHidden/>
              </w:rPr>
              <w:fldChar w:fldCharType="begin"/>
            </w:r>
            <w:r w:rsidR="001E0390">
              <w:rPr>
                <w:noProof/>
                <w:webHidden/>
              </w:rPr>
              <w:instrText xml:space="preserve"> PAGEREF _Toc157008351 \h </w:instrText>
            </w:r>
            <w:r w:rsidR="001E0390">
              <w:rPr>
                <w:noProof/>
                <w:webHidden/>
              </w:rPr>
            </w:r>
            <w:r w:rsidR="001E0390">
              <w:rPr>
                <w:noProof/>
                <w:webHidden/>
              </w:rPr>
              <w:fldChar w:fldCharType="separate"/>
            </w:r>
            <w:r w:rsidR="001E0390">
              <w:rPr>
                <w:noProof/>
                <w:webHidden/>
              </w:rPr>
              <w:t>26</w:t>
            </w:r>
            <w:r w:rsidR="001E0390">
              <w:rPr>
                <w:noProof/>
                <w:webHidden/>
              </w:rPr>
              <w:fldChar w:fldCharType="end"/>
            </w:r>
          </w:hyperlink>
        </w:p>
        <w:p w14:paraId="1738BAB1" w14:textId="4B250044"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52" w:history="1">
            <w:r w:rsidR="001E0390" w:rsidRPr="00A76162">
              <w:rPr>
                <w:rStyle w:val="Collegamentoipertestuale"/>
                <w:noProof/>
              </w:rPr>
              <w:t>Obiettivi dell’amministrazione e risultati attesi</w:t>
            </w:r>
            <w:r w:rsidR="001E0390">
              <w:rPr>
                <w:noProof/>
                <w:webHidden/>
              </w:rPr>
              <w:tab/>
            </w:r>
            <w:r w:rsidR="001E0390">
              <w:rPr>
                <w:noProof/>
                <w:webHidden/>
              </w:rPr>
              <w:fldChar w:fldCharType="begin"/>
            </w:r>
            <w:r w:rsidR="001E0390">
              <w:rPr>
                <w:noProof/>
                <w:webHidden/>
              </w:rPr>
              <w:instrText xml:space="preserve"> PAGEREF _Toc157008352 \h </w:instrText>
            </w:r>
            <w:r w:rsidR="001E0390">
              <w:rPr>
                <w:noProof/>
                <w:webHidden/>
              </w:rPr>
            </w:r>
            <w:r w:rsidR="001E0390">
              <w:rPr>
                <w:noProof/>
                <w:webHidden/>
              </w:rPr>
              <w:fldChar w:fldCharType="separate"/>
            </w:r>
            <w:r w:rsidR="001E0390">
              <w:rPr>
                <w:noProof/>
                <w:webHidden/>
              </w:rPr>
              <w:t>27</w:t>
            </w:r>
            <w:r w:rsidR="001E0390">
              <w:rPr>
                <w:noProof/>
                <w:webHidden/>
              </w:rPr>
              <w:fldChar w:fldCharType="end"/>
            </w:r>
          </w:hyperlink>
        </w:p>
        <w:p w14:paraId="765ED55D" w14:textId="2D7D9A8C"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53" w:history="1">
            <w:r w:rsidR="001E0390" w:rsidRPr="00A76162">
              <w:rPr>
                <w:rStyle w:val="Collegamentoipertestuale"/>
                <w:noProof/>
              </w:rPr>
              <w:t>Linee di azione di interesse per l’amministrazione</w:t>
            </w:r>
            <w:r w:rsidR="001E0390">
              <w:rPr>
                <w:noProof/>
                <w:webHidden/>
              </w:rPr>
              <w:tab/>
            </w:r>
            <w:r w:rsidR="001E0390">
              <w:rPr>
                <w:noProof/>
                <w:webHidden/>
              </w:rPr>
              <w:fldChar w:fldCharType="begin"/>
            </w:r>
            <w:r w:rsidR="001E0390">
              <w:rPr>
                <w:noProof/>
                <w:webHidden/>
              </w:rPr>
              <w:instrText xml:space="preserve"> PAGEREF _Toc157008353 \h </w:instrText>
            </w:r>
            <w:r w:rsidR="001E0390">
              <w:rPr>
                <w:noProof/>
                <w:webHidden/>
              </w:rPr>
            </w:r>
            <w:r w:rsidR="001E0390">
              <w:rPr>
                <w:noProof/>
                <w:webHidden/>
              </w:rPr>
              <w:fldChar w:fldCharType="separate"/>
            </w:r>
            <w:r w:rsidR="001E0390">
              <w:rPr>
                <w:noProof/>
                <w:webHidden/>
              </w:rPr>
              <w:t>27</w:t>
            </w:r>
            <w:r w:rsidR="001E0390">
              <w:rPr>
                <w:noProof/>
                <w:webHidden/>
              </w:rPr>
              <w:fldChar w:fldCharType="end"/>
            </w:r>
          </w:hyperlink>
        </w:p>
        <w:p w14:paraId="2F2C526A" w14:textId="770F9705" w:rsidR="001E0390" w:rsidRDefault="00000000">
          <w:pPr>
            <w:pStyle w:val="Sommario1"/>
            <w:tabs>
              <w:tab w:val="right" w:leader="dot" w:pos="9016"/>
            </w:tabs>
            <w:rPr>
              <w:rFonts w:eastAsiaTheme="minorEastAsia" w:cstheme="minorBidi"/>
              <w:b w:val="0"/>
              <w:bCs w:val="0"/>
              <w:caps w:val="0"/>
              <w:noProof/>
              <w:kern w:val="2"/>
              <w:sz w:val="22"/>
              <w:szCs w:val="22"/>
              <w:lang w:eastAsia="it-IT"/>
              <w14:ligatures w14:val="standardContextual"/>
            </w:rPr>
          </w:pPr>
          <w:hyperlink w:anchor="_Toc157008354" w:history="1">
            <w:r w:rsidR="001E0390" w:rsidRPr="00A76162">
              <w:rPr>
                <w:rStyle w:val="Collegamentoipertestuale"/>
                <w:noProof/>
              </w:rPr>
              <w:t>PARTE III</w:t>
            </w:r>
            <w:r w:rsidR="001E0390" w:rsidRPr="00A76162">
              <w:rPr>
                <w:rStyle w:val="Collegamentoipertestuale"/>
                <w:noProof/>
                <w:vertAlign w:val="superscript"/>
              </w:rPr>
              <w:t>a</w:t>
            </w:r>
            <w:r w:rsidR="001E0390" w:rsidRPr="00A76162">
              <w:rPr>
                <w:rStyle w:val="Collegamentoipertestuale"/>
                <w:noProof/>
              </w:rPr>
              <w:t xml:space="preserve"> - La governance</w:t>
            </w:r>
            <w:r w:rsidR="001E0390">
              <w:rPr>
                <w:noProof/>
                <w:webHidden/>
              </w:rPr>
              <w:tab/>
            </w:r>
            <w:r w:rsidR="001E0390">
              <w:rPr>
                <w:noProof/>
                <w:webHidden/>
              </w:rPr>
              <w:fldChar w:fldCharType="begin"/>
            </w:r>
            <w:r w:rsidR="001E0390">
              <w:rPr>
                <w:noProof/>
                <w:webHidden/>
              </w:rPr>
              <w:instrText xml:space="preserve"> PAGEREF _Toc157008354 \h </w:instrText>
            </w:r>
            <w:r w:rsidR="001E0390">
              <w:rPr>
                <w:noProof/>
                <w:webHidden/>
              </w:rPr>
            </w:r>
            <w:r w:rsidR="001E0390">
              <w:rPr>
                <w:noProof/>
                <w:webHidden/>
              </w:rPr>
              <w:fldChar w:fldCharType="separate"/>
            </w:r>
            <w:r w:rsidR="001E0390">
              <w:rPr>
                <w:noProof/>
                <w:webHidden/>
              </w:rPr>
              <w:t>28</w:t>
            </w:r>
            <w:r w:rsidR="001E0390">
              <w:rPr>
                <w:noProof/>
                <w:webHidden/>
              </w:rPr>
              <w:fldChar w:fldCharType="end"/>
            </w:r>
          </w:hyperlink>
        </w:p>
        <w:p w14:paraId="52626946" w14:textId="6A32E2AA"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55" w:history="1">
            <w:r w:rsidR="001E0390" w:rsidRPr="00A76162">
              <w:rPr>
                <w:rStyle w:val="Collegamentoipertestuale"/>
                <w:noProof/>
              </w:rPr>
              <w:t>Capitolo 7. Le Leve per l’innovazione</w:t>
            </w:r>
            <w:r w:rsidR="001E0390">
              <w:rPr>
                <w:noProof/>
                <w:webHidden/>
              </w:rPr>
              <w:tab/>
            </w:r>
            <w:r w:rsidR="001E0390">
              <w:rPr>
                <w:noProof/>
                <w:webHidden/>
              </w:rPr>
              <w:fldChar w:fldCharType="begin"/>
            </w:r>
            <w:r w:rsidR="001E0390">
              <w:rPr>
                <w:noProof/>
                <w:webHidden/>
              </w:rPr>
              <w:instrText xml:space="preserve"> PAGEREF _Toc157008355 \h </w:instrText>
            </w:r>
            <w:r w:rsidR="001E0390">
              <w:rPr>
                <w:noProof/>
                <w:webHidden/>
              </w:rPr>
            </w:r>
            <w:r w:rsidR="001E0390">
              <w:rPr>
                <w:noProof/>
                <w:webHidden/>
              </w:rPr>
              <w:fldChar w:fldCharType="separate"/>
            </w:r>
            <w:r w:rsidR="001E0390">
              <w:rPr>
                <w:noProof/>
                <w:webHidden/>
              </w:rPr>
              <w:t>28</w:t>
            </w:r>
            <w:r w:rsidR="001E0390">
              <w:rPr>
                <w:noProof/>
                <w:webHidden/>
              </w:rPr>
              <w:fldChar w:fldCharType="end"/>
            </w:r>
          </w:hyperlink>
        </w:p>
        <w:p w14:paraId="246D882F" w14:textId="5C3587FA"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56" w:history="1">
            <w:r w:rsidR="001E0390" w:rsidRPr="00A76162">
              <w:rPr>
                <w:rStyle w:val="Collegamentoipertestuale"/>
                <w:noProof/>
              </w:rPr>
              <w:t>Le competenze digitali per la PA e per il Paese e l’inclusione digitale</w:t>
            </w:r>
            <w:r w:rsidR="001E0390">
              <w:rPr>
                <w:noProof/>
                <w:webHidden/>
              </w:rPr>
              <w:tab/>
            </w:r>
            <w:r w:rsidR="001E0390">
              <w:rPr>
                <w:noProof/>
                <w:webHidden/>
              </w:rPr>
              <w:fldChar w:fldCharType="begin"/>
            </w:r>
            <w:r w:rsidR="001E0390">
              <w:rPr>
                <w:noProof/>
                <w:webHidden/>
              </w:rPr>
              <w:instrText xml:space="preserve"> PAGEREF _Toc157008356 \h </w:instrText>
            </w:r>
            <w:r w:rsidR="001E0390">
              <w:rPr>
                <w:noProof/>
                <w:webHidden/>
              </w:rPr>
            </w:r>
            <w:r w:rsidR="001E0390">
              <w:rPr>
                <w:noProof/>
                <w:webHidden/>
              </w:rPr>
              <w:fldChar w:fldCharType="separate"/>
            </w:r>
            <w:r w:rsidR="001E0390">
              <w:rPr>
                <w:noProof/>
                <w:webHidden/>
              </w:rPr>
              <w:t>28</w:t>
            </w:r>
            <w:r w:rsidR="001E0390">
              <w:rPr>
                <w:noProof/>
                <w:webHidden/>
              </w:rPr>
              <w:fldChar w:fldCharType="end"/>
            </w:r>
          </w:hyperlink>
        </w:p>
        <w:p w14:paraId="190E402E" w14:textId="2653415F"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57" w:history="1">
            <w:r w:rsidR="001E0390" w:rsidRPr="00A76162">
              <w:rPr>
                <w:rStyle w:val="Collegamentoipertestuale"/>
                <w:noProof/>
              </w:rPr>
              <w:t>Transizione Digitale.</w:t>
            </w:r>
            <w:r w:rsidR="001E0390">
              <w:rPr>
                <w:noProof/>
                <w:webHidden/>
              </w:rPr>
              <w:tab/>
            </w:r>
            <w:r w:rsidR="001E0390">
              <w:rPr>
                <w:noProof/>
                <w:webHidden/>
              </w:rPr>
              <w:fldChar w:fldCharType="begin"/>
            </w:r>
            <w:r w:rsidR="001E0390">
              <w:rPr>
                <w:noProof/>
                <w:webHidden/>
              </w:rPr>
              <w:instrText xml:space="preserve"> PAGEREF _Toc157008357 \h </w:instrText>
            </w:r>
            <w:r w:rsidR="001E0390">
              <w:rPr>
                <w:noProof/>
                <w:webHidden/>
              </w:rPr>
            </w:r>
            <w:r w:rsidR="001E0390">
              <w:rPr>
                <w:noProof/>
                <w:webHidden/>
              </w:rPr>
              <w:fldChar w:fldCharType="separate"/>
            </w:r>
            <w:r w:rsidR="001E0390">
              <w:rPr>
                <w:noProof/>
                <w:webHidden/>
              </w:rPr>
              <w:t>29</w:t>
            </w:r>
            <w:r w:rsidR="001E0390">
              <w:rPr>
                <w:noProof/>
                <w:webHidden/>
              </w:rPr>
              <w:fldChar w:fldCharType="end"/>
            </w:r>
          </w:hyperlink>
        </w:p>
        <w:p w14:paraId="52C0D4AA" w14:textId="450BFA78"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58" w:history="1">
            <w:r w:rsidR="001E0390" w:rsidRPr="00A76162">
              <w:rPr>
                <w:rStyle w:val="Collegamentoipertestuale"/>
                <w:noProof/>
              </w:rPr>
              <w:t>Strumenti e modelli per l’innovazione</w:t>
            </w:r>
            <w:r w:rsidR="001E0390">
              <w:rPr>
                <w:noProof/>
                <w:webHidden/>
              </w:rPr>
              <w:tab/>
            </w:r>
            <w:r w:rsidR="001E0390">
              <w:rPr>
                <w:noProof/>
                <w:webHidden/>
              </w:rPr>
              <w:fldChar w:fldCharType="begin"/>
            </w:r>
            <w:r w:rsidR="001E0390">
              <w:rPr>
                <w:noProof/>
                <w:webHidden/>
              </w:rPr>
              <w:instrText xml:space="preserve"> PAGEREF _Toc157008358 \h </w:instrText>
            </w:r>
            <w:r w:rsidR="001E0390">
              <w:rPr>
                <w:noProof/>
                <w:webHidden/>
              </w:rPr>
            </w:r>
            <w:r w:rsidR="001E0390">
              <w:rPr>
                <w:noProof/>
                <w:webHidden/>
              </w:rPr>
              <w:fldChar w:fldCharType="separate"/>
            </w:r>
            <w:r w:rsidR="001E0390">
              <w:rPr>
                <w:noProof/>
                <w:webHidden/>
              </w:rPr>
              <w:t>29</w:t>
            </w:r>
            <w:r w:rsidR="001E0390">
              <w:rPr>
                <w:noProof/>
                <w:webHidden/>
              </w:rPr>
              <w:fldChar w:fldCharType="end"/>
            </w:r>
          </w:hyperlink>
        </w:p>
        <w:p w14:paraId="4AAB6130" w14:textId="2B743ABF"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59" w:history="1">
            <w:r w:rsidR="001E0390" w:rsidRPr="00A76162">
              <w:rPr>
                <w:rStyle w:val="Collegamentoipertestuale"/>
                <w:noProof/>
              </w:rPr>
              <w:t>La sperimentazione e lo sviluppo dell’innovazione</w:t>
            </w:r>
            <w:r w:rsidR="001E0390">
              <w:rPr>
                <w:noProof/>
                <w:webHidden/>
              </w:rPr>
              <w:tab/>
            </w:r>
            <w:r w:rsidR="001E0390">
              <w:rPr>
                <w:noProof/>
                <w:webHidden/>
              </w:rPr>
              <w:fldChar w:fldCharType="begin"/>
            </w:r>
            <w:r w:rsidR="001E0390">
              <w:rPr>
                <w:noProof/>
                <w:webHidden/>
              </w:rPr>
              <w:instrText xml:space="preserve"> PAGEREF _Toc157008359 \h </w:instrText>
            </w:r>
            <w:r w:rsidR="001E0390">
              <w:rPr>
                <w:noProof/>
                <w:webHidden/>
              </w:rPr>
            </w:r>
            <w:r w:rsidR="001E0390">
              <w:rPr>
                <w:noProof/>
                <w:webHidden/>
              </w:rPr>
              <w:fldChar w:fldCharType="separate"/>
            </w:r>
            <w:r w:rsidR="001E0390">
              <w:rPr>
                <w:noProof/>
                <w:webHidden/>
              </w:rPr>
              <w:t>30</w:t>
            </w:r>
            <w:r w:rsidR="001E0390">
              <w:rPr>
                <w:noProof/>
                <w:webHidden/>
              </w:rPr>
              <w:fldChar w:fldCharType="end"/>
            </w:r>
          </w:hyperlink>
        </w:p>
        <w:p w14:paraId="2BBC49B4" w14:textId="18419963"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60" w:history="1">
            <w:r w:rsidR="001E0390" w:rsidRPr="00A76162">
              <w:rPr>
                <w:rStyle w:val="Collegamentoipertestuale"/>
                <w:noProof/>
              </w:rPr>
              <w:t>Obiettivi dell’amministrazione e risultati attesi</w:t>
            </w:r>
            <w:r w:rsidR="001E0390">
              <w:rPr>
                <w:noProof/>
                <w:webHidden/>
              </w:rPr>
              <w:tab/>
            </w:r>
            <w:r w:rsidR="001E0390">
              <w:rPr>
                <w:noProof/>
                <w:webHidden/>
              </w:rPr>
              <w:fldChar w:fldCharType="begin"/>
            </w:r>
            <w:r w:rsidR="001E0390">
              <w:rPr>
                <w:noProof/>
                <w:webHidden/>
              </w:rPr>
              <w:instrText xml:space="preserve"> PAGEREF _Toc157008360 \h </w:instrText>
            </w:r>
            <w:r w:rsidR="001E0390">
              <w:rPr>
                <w:noProof/>
                <w:webHidden/>
              </w:rPr>
            </w:r>
            <w:r w:rsidR="001E0390">
              <w:rPr>
                <w:noProof/>
                <w:webHidden/>
              </w:rPr>
              <w:fldChar w:fldCharType="separate"/>
            </w:r>
            <w:r w:rsidR="001E0390">
              <w:rPr>
                <w:noProof/>
                <w:webHidden/>
              </w:rPr>
              <w:t>31</w:t>
            </w:r>
            <w:r w:rsidR="001E0390">
              <w:rPr>
                <w:noProof/>
                <w:webHidden/>
              </w:rPr>
              <w:fldChar w:fldCharType="end"/>
            </w:r>
          </w:hyperlink>
        </w:p>
        <w:p w14:paraId="71643B01" w14:textId="5B41757B"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61" w:history="1">
            <w:r w:rsidR="001E0390" w:rsidRPr="00A76162">
              <w:rPr>
                <w:rStyle w:val="Collegamentoipertestuale"/>
                <w:noProof/>
              </w:rPr>
              <w:t>Linee di azione di interesse per l’amministrazione</w:t>
            </w:r>
            <w:r w:rsidR="001E0390">
              <w:rPr>
                <w:noProof/>
                <w:webHidden/>
              </w:rPr>
              <w:tab/>
            </w:r>
            <w:r w:rsidR="001E0390">
              <w:rPr>
                <w:noProof/>
                <w:webHidden/>
              </w:rPr>
              <w:fldChar w:fldCharType="begin"/>
            </w:r>
            <w:r w:rsidR="001E0390">
              <w:rPr>
                <w:noProof/>
                <w:webHidden/>
              </w:rPr>
              <w:instrText xml:space="preserve"> PAGEREF _Toc157008361 \h </w:instrText>
            </w:r>
            <w:r w:rsidR="001E0390">
              <w:rPr>
                <w:noProof/>
                <w:webHidden/>
              </w:rPr>
            </w:r>
            <w:r w:rsidR="001E0390">
              <w:rPr>
                <w:noProof/>
                <w:webHidden/>
              </w:rPr>
              <w:fldChar w:fldCharType="separate"/>
            </w:r>
            <w:r w:rsidR="001E0390">
              <w:rPr>
                <w:noProof/>
                <w:webHidden/>
              </w:rPr>
              <w:t>31</w:t>
            </w:r>
            <w:r w:rsidR="001E0390">
              <w:rPr>
                <w:noProof/>
                <w:webHidden/>
              </w:rPr>
              <w:fldChar w:fldCharType="end"/>
            </w:r>
          </w:hyperlink>
        </w:p>
        <w:p w14:paraId="2D38938B" w14:textId="155FF07E" w:rsidR="001E0390" w:rsidRDefault="00000000">
          <w:pPr>
            <w:pStyle w:val="Sommario2"/>
            <w:tabs>
              <w:tab w:val="right" w:leader="dot" w:pos="9016"/>
            </w:tabs>
            <w:rPr>
              <w:rFonts w:eastAsiaTheme="minorEastAsia" w:cstheme="minorBidi"/>
              <w:smallCaps w:val="0"/>
              <w:noProof/>
              <w:kern w:val="2"/>
              <w:sz w:val="22"/>
              <w:szCs w:val="22"/>
              <w:lang w:eastAsia="it-IT"/>
              <w14:ligatures w14:val="standardContextual"/>
            </w:rPr>
          </w:pPr>
          <w:hyperlink w:anchor="_Toc157008362" w:history="1">
            <w:r w:rsidR="001E0390" w:rsidRPr="00A76162">
              <w:rPr>
                <w:rStyle w:val="Collegamentoipertestuale"/>
                <w:noProof/>
              </w:rPr>
              <w:t>Capitolo 8. Governare la Trasformazione Digitale</w:t>
            </w:r>
            <w:r w:rsidR="001E0390">
              <w:rPr>
                <w:noProof/>
                <w:webHidden/>
              </w:rPr>
              <w:tab/>
            </w:r>
            <w:r w:rsidR="001E0390">
              <w:rPr>
                <w:noProof/>
                <w:webHidden/>
              </w:rPr>
              <w:fldChar w:fldCharType="begin"/>
            </w:r>
            <w:r w:rsidR="001E0390">
              <w:rPr>
                <w:noProof/>
                <w:webHidden/>
              </w:rPr>
              <w:instrText xml:space="preserve"> PAGEREF _Toc157008362 \h </w:instrText>
            </w:r>
            <w:r w:rsidR="001E0390">
              <w:rPr>
                <w:noProof/>
                <w:webHidden/>
              </w:rPr>
            </w:r>
            <w:r w:rsidR="001E0390">
              <w:rPr>
                <w:noProof/>
                <w:webHidden/>
              </w:rPr>
              <w:fldChar w:fldCharType="separate"/>
            </w:r>
            <w:r w:rsidR="001E0390">
              <w:rPr>
                <w:noProof/>
                <w:webHidden/>
              </w:rPr>
              <w:t>32</w:t>
            </w:r>
            <w:r w:rsidR="001E0390">
              <w:rPr>
                <w:noProof/>
                <w:webHidden/>
              </w:rPr>
              <w:fldChar w:fldCharType="end"/>
            </w:r>
          </w:hyperlink>
        </w:p>
        <w:p w14:paraId="6E8110D6" w14:textId="68C72F8E"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63" w:history="1">
            <w:r w:rsidR="001E0390" w:rsidRPr="00A76162">
              <w:rPr>
                <w:rStyle w:val="Collegamentoipertestuale"/>
                <w:noProof/>
              </w:rPr>
              <w:t>Consolidamento del ruolo del Responsabile per la transizione al digitale</w:t>
            </w:r>
            <w:r w:rsidR="001E0390">
              <w:rPr>
                <w:noProof/>
                <w:webHidden/>
              </w:rPr>
              <w:tab/>
            </w:r>
            <w:r w:rsidR="001E0390">
              <w:rPr>
                <w:noProof/>
                <w:webHidden/>
              </w:rPr>
              <w:fldChar w:fldCharType="begin"/>
            </w:r>
            <w:r w:rsidR="001E0390">
              <w:rPr>
                <w:noProof/>
                <w:webHidden/>
              </w:rPr>
              <w:instrText xml:space="preserve"> PAGEREF _Toc157008363 \h </w:instrText>
            </w:r>
            <w:r w:rsidR="001E0390">
              <w:rPr>
                <w:noProof/>
                <w:webHidden/>
              </w:rPr>
            </w:r>
            <w:r w:rsidR="001E0390">
              <w:rPr>
                <w:noProof/>
                <w:webHidden/>
              </w:rPr>
              <w:fldChar w:fldCharType="separate"/>
            </w:r>
            <w:r w:rsidR="001E0390">
              <w:rPr>
                <w:noProof/>
                <w:webHidden/>
              </w:rPr>
              <w:t>32</w:t>
            </w:r>
            <w:r w:rsidR="001E0390">
              <w:rPr>
                <w:noProof/>
                <w:webHidden/>
              </w:rPr>
              <w:fldChar w:fldCharType="end"/>
            </w:r>
          </w:hyperlink>
        </w:p>
        <w:p w14:paraId="686FDDAC" w14:textId="4F241385"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64" w:history="1">
            <w:r w:rsidR="001E0390" w:rsidRPr="00A76162">
              <w:rPr>
                <w:rStyle w:val="Collegamentoipertestuale"/>
                <w:noProof/>
              </w:rPr>
              <w:t>Il monitoraggio del Piano triennale</w:t>
            </w:r>
            <w:r w:rsidR="001E0390">
              <w:rPr>
                <w:noProof/>
                <w:webHidden/>
              </w:rPr>
              <w:tab/>
            </w:r>
            <w:r w:rsidR="001E0390">
              <w:rPr>
                <w:noProof/>
                <w:webHidden/>
              </w:rPr>
              <w:fldChar w:fldCharType="begin"/>
            </w:r>
            <w:r w:rsidR="001E0390">
              <w:rPr>
                <w:noProof/>
                <w:webHidden/>
              </w:rPr>
              <w:instrText xml:space="preserve"> PAGEREF _Toc157008364 \h </w:instrText>
            </w:r>
            <w:r w:rsidR="001E0390">
              <w:rPr>
                <w:noProof/>
                <w:webHidden/>
              </w:rPr>
            </w:r>
            <w:r w:rsidR="001E0390">
              <w:rPr>
                <w:noProof/>
                <w:webHidden/>
              </w:rPr>
              <w:fldChar w:fldCharType="separate"/>
            </w:r>
            <w:r w:rsidR="001E0390">
              <w:rPr>
                <w:noProof/>
                <w:webHidden/>
              </w:rPr>
              <w:t>33</w:t>
            </w:r>
            <w:r w:rsidR="001E0390">
              <w:rPr>
                <w:noProof/>
                <w:webHidden/>
              </w:rPr>
              <w:fldChar w:fldCharType="end"/>
            </w:r>
          </w:hyperlink>
        </w:p>
        <w:p w14:paraId="2697FA1C" w14:textId="0AE25C71"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65" w:history="1">
            <w:r w:rsidR="001E0390" w:rsidRPr="00A76162">
              <w:rPr>
                <w:rStyle w:val="Collegamentoipertestuale"/>
                <w:noProof/>
              </w:rPr>
              <w:t>Obiettivi dell’amministrazione e risultati attesi</w:t>
            </w:r>
            <w:r w:rsidR="001E0390">
              <w:rPr>
                <w:noProof/>
                <w:webHidden/>
              </w:rPr>
              <w:tab/>
            </w:r>
            <w:r w:rsidR="001E0390">
              <w:rPr>
                <w:noProof/>
                <w:webHidden/>
              </w:rPr>
              <w:fldChar w:fldCharType="begin"/>
            </w:r>
            <w:r w:rsidR="001E0390">
              <w:rPr>
                <w:noProof/>
                <w:webHidden/>
              </w:rPr>
              <w:instrText xml:space="preserve"> PAGEREF _Toc157008365 \h </w:instrText>
            </w:r>
            <w:r w:rsidR="001E0390">
              <w:rPr>
                <w:noProof/>
                <w:webHidden/>
              </w:rPr>
            </w:r>
            <w:r w:rsidR="001E0390">
              <w:rPr>
                <w:noProof/>
                <w:webHidden/>
              </w:rPr>
              <w:fldChar w:fldCharType="separate"/>
            </w:r>
            <w:r w:rsidR="001E0390">
              <w:rPr>
                <w:noProof/>
                <w:webHidden/>
              </w:rPr>
              <w:t>33</w:t>
            </w:r>
            <w:r w:rsidR="001E0390">
              <w:rPr>
                <w:noProof/>
                <w:webHidden/>
              </w:rPr>
              <w:fldChar w:fldCharType="end"/>
            </w:r>
          </w:hyperlink>
        </w:p>
        <w:p w14:paraId="2F62C9DB" w14:textId="043B489B"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66" w:history="1">
            <w:r w:rsidR="001E0390" w:rsidRPr="00A76162">
              <w:rPr>
                <w:rStyle w:val="Collegamentoipertestuale"/>
                <w:noProof/>
              </w:rPr>
              <w:t>Linee di azione di interesse per l’amministrazione</w:t>
            </w:r>
            <w:r w:rsidR="001E0390">
              <w:rPr>
                <w:noProof/>
                <w:webHidden/>
              </w:rPr>
              <w:tab/>
            </w:r>
            <w:r w:rsidR="001E0390">
              <w:rPr>
                <w:noProof/>
                <w:webHidden/>
              </w:rPr>
              <w:fldChar w:fldCharType="begin"/>
            </w:r>
            <w:r w:rsidR="001E0390">
              <w:rPr>
                <w:noProof/>
                <w:webHidden/>
              </w:rPr>
              <w:instrText xml:space="preserve"> PAGEREF _Toc157008366 \h </w:instrText>
            </w:r>
            <w:r w:rsidR="001E0390">
              <w:rPr>
                <w:noProof/>
                <w:webHidden/>
              </w:rPr>
            </w:r>
            <w:r w:rsidR="001E0390">
              <w:rPr>
                <w:noProof/>
                <w:webHidden/>
              </w:rPr>
              <w:fldChar w:fldCharType="separate"/>
            </w:r>
            <w:r w:rsidR="001E0390">
              <w:rPr>
                <w:noProof/>
                <w:webHidden/>
              </w:rPr>
              <w:t>34</w:t>
            </w:r>
            <w:r w:rsidR="001E0390">
              <w:rPr>
                <w:noProof/>
                <w:webHidden/>
              </w:rPr>
              <w:fldChar w:fldCharType="end"/>
            </w:r>
          </w:hyperlink>
        </w:p>
        <w:p w14:paraId="7BE6AD8C" w14:textId="2EC7037A" w:rsidR="001E0390" w:rsidRDefault="00000000">
          <w:pPr>
            <w:pStyle w:val="Sommario1"/>
            <w:tabs>
              <w:tab w:val="right" w:leader="dot" w:pos="9016"/>
            </w:tabs>
            <w:rPr>
              <w:rFonts w:eastAsiaTheme="minorEastAsia" w:cstheme="minorBidi"/>
              <w:b w:val="0"/>
              <w:bCs w:val="0"/>
              <w:caps w:val="0"/>
              <w:noProof/>
              <w:kern w:val="2"/>
              <w:sz w:val="22"/>
              <w:szCs w:val="22"/>
              <w:lang w:eastAsia="it-IT"/>
              <w14:ligatures w14:val="standardContextual"/>
            </w:rPr>
          </w:pPr>
          <w:hyperlink w:anchor="_Toc157008367" w:history="1">
            <w:r w:rsidR="001E0390" w:rsidRPr="00A76162">
              <w:rPr>
                <w:rStyle w:val="Collegamentoipertestuale"/>
                <w:noProof/>
              </w:rPr>
              <w:t>Parte IV</w:t>
            </w:r>
            <w:r w:rsidR="001E0390" w:rsidRPr="00A76162">
              <w:rPr>
                <w:rStyle w:val="Collegamentoipertestuale"/>
                <w:noProof/>
                <w:vertAlign w:val="superscript"/>
              </w:rPr>
              <w:t>a</w:t>
            </w:r>
            <w:r w:rsidR="001E0390" w:rsidRPr="00A76162">
              <w:rPr>
                <w:rStyle w:val="Collegamentoipertestuale"/>
                <w:noProof/>
              </w:rPr>
              <w:t xml:space="preserve"> - Allegati</w:t>
            </w:r>
            <w:r w:rsidR="001E0390">
              <w:rPr>
                <w:noProof/>
                <w:webHidden/>
              </w:rPr>
              <w:tab/>
            </w:r>
            <w:r w:rsidR="001E0390">
              <w:rPr>
                <w:noProof/>
                <w:webHidden/>
              </w:rPr>
              <w:fldChar w:fldCharType="begin"/>
            </w:r>
            <w:r w:rsidR="001E0390">
              <w:rPr>
                <w:noProof/>
                <w:webHidden/>
              </w:rPr>
              <w:instrText xml:space="preserve"> PAGEREF _Toc157008367 \h </w:instrText>
            </w:r>
            <w:r w:rsidR="001E0390">
              <w:rPr>
                <w:noProof/>
                <w:webHidden/>
              </w:rPr>
            </w:r>
            <w:r w:rsidR="001E0390">
              <w:rPr>
                <w:noProof/>
                <w:webHidden/>
              </w:rPr>
              <w:fldChar w:fldCharType="separate"/>
            </w:r>
            <w:r w:rsidR="001E0390">
              <w:rPr>
                <w:noProof/>
                <w:webHidden/>
              </w:rPr>
              <w:t>35</w:t>
            </w:r>
            <w:r w:rsidR="001E0390">
              <w:rPr>
                <w:noProof/>
                <w:webHidden/>
              </w:rPr>
              <w:fldChar w:fldCharType="end"/>
            </w:r>
          </w:hyperlink>
        </w:p>
        <w:p w14:paraId="5B9CCFA4" w14:textId="276BFECA" w:rsidR="001E0390" w:rsidRDefault="00000000">
          <w:pPr>
            <w:pStyle w:val="Sommario2"/>
            <w:tabs>
              <w:tab w:val="left" w:pos="1540"/>
              <w:tab w:val="right" w:leader="dot" w:pos="9016"/>
            </w:tabs>
            <w:rPr>
              <w:rFonts w:eastAsiaTheme="minorEastAsia" w:cstheme="minorBidi"/>
              <w:smallCaps w:val="0"/>
              <w:noProof/>
              <w:kern w:val="2"/>
              <w:sz w:val="22"/>
              <w:szCs w:val="22"/>
              <w:lang w:eastAsia="it-IT"/>
              <w14:ligatures w14:val="standardContextual"/>
            </w:rPr>
          </w:pPr>
          <w:hyperlink w:anchor="_Toc157008368" w:history="1">
            <w:r w:rsidR="001E0390" w:rsidRPr="00A76162">
              <w:rPr>
                <w:rStyle w:val="Collegamentoipertestuale"/>
                <w:noProof/>
              </w:rPr>
              <w:t xml:space="preserve">Allegato 1: </w:t>
            </w:r>
            <w:r w:rsidR="001E0390">
              <w:rPr>
                <w:rFonts w:eastAsiaTheme="minorEastAsia" w:cstheme="minorBidi"/>
                <w:smallCaps w:val="0"/>
                <w:noProof/>
                <w:kern w:val="2"/>
                <w:sz w:val="22"/>
                <w:szCs w:val="22"/>
                <w:lang w:eastAsia="it-IT"/>
                <w14:ligatures w14:val="standardContextual"/>
              </w:rPr>
              <w:tab/>
            </w:r>
            <w:r w:rsidR="001E0390" w:rsidRPr="00A76162">
              <w:rPr>
                <w:rStyle w:val="Collegamentoipertestuale"/>
                <w:noProof/>
              </w:rPr>
              <w:t>Contesto Normativo e Strategico</w:t>
            </w:r>
            <w:r w:rsidR="001E0390">
              <w:rPr>
                <w:noProof/>
                <w:webHidden/>
              </w:rPr>
              <w:tab/>
            </w:r>
            <w:r w:rsidR="001E0390">
              <w:rPr>
                <w:noProof/>
                <w:webHidden/>
              </w:rPr>
              <w:fldChar w:fldCharType="begin"/>
            </w:r>
            <w:r w:rsidR="001E0390">
              <w:rPr>
                <w:noProof/>
                <w:webHidden/>
              </w:rPr>
              <w:instrText xml:space="preserve"> PAGEREF _Toc157008368 \h </w:instrText>
            </w:r>
            <w:r w:rsidR="001E0390">
              <w:rPr>
                <w:noProof/>
                <w:webHidden/>
              </w:rPr>
            </w:r>
            <w:r w:rsidR="001E0390">
              <w:rPr>
                <w:noProof/>
                <w:webHidden/>
              </w:rPr>
              <w:fldChar w:fldCharType="separate"/>
            </w:r>
            <w:r w:rsidR="001E0390">
              <w:rPr>
                <w:noProof/>
                <w:webHidden/>
              </w:rPr>
              <w:t>35</w:t>
            </w:r>
            <w:r w:rsidR="001E0390">
              <w:rPr>
                <w:noProof/>
                <w:webHidden/>
              </w:rPr>
              <w:fldChar w:fldCharType="end"/>
            </w:r>
          </w:hyperlink>
        </w:p>
        <w:p w14:paraId="29D6A31E" w14:textId="3831D164" w:rsidR="001E0390" w:rsidRDefault="00000000">
          <w:pPr>
            <w:pStyle w:val="Sommario2"/>
            <w:tabs>
              <w:tab w:val="left" w:pos="1540"/>
              <w:tab w:val="right" w:leader="dot" w:pos="9016"/>
            </w:tabs>
            <w:rPr>
              <w:rFonts w:eastAsiaTheme="minorEastAsia" w:cstheme="minorBidi"/>
              <w:smallCaps w:val="0"/>
              <w:noProof/>
              <w:kern w:val="2"/>
              <w:sz w:val="22"/>
              <w:szCs w:val="22"/>
              <w:lang w:eastAsia="it-IT"/>
              <w14:ligatures w14:val="standardContextual"/>
            </w:rPr>
          </w:pPr>
          <w:hyperlink w:anchor="_Toc157008369" w:history="1">
            <w:r w:rsidR="001E0390" w:rsidRPr="00A76162">
              <w:rPr>
                <w:rStyle w:val="Collegamentoipertestuale"/>
                <w:noProof/>
              </w:rPr>
              <w:t xml:space="preserve">Allegato 2: </w:t>
            </w:r>
            <w:r w:rsidR="001E0390">
              <w:rPr>
                <w:rFonts w:eastAsiaTheme="minorEastAsia" w:cstheme="minorBidi"/>
                <w:smallCaps w:val="0"/>
                <w:noProof/>
                <w:kern w:val="2"/>
                <w:sz w:val="22"/>
                <w:szCs w:val="22"/>
                <w:lang w:eastAsia="it-IT"/>
                <w14:ligatures w14:val="standardContextual"/>
              </w:rPr>
              <w:tab/>
            </w:r>
            <w:r w:rsidR="001E0390" w:rsidRPr="00A76162">
              <w:rPr>
                <w:rStyle w:val="Collegamentoipertestuale"/>
                <w:noProof/>
              </w:rPr>
              <w:t>Obiettivi e risultati attesi definiti da AgID per le Pubbliche Amministrazioni.</w:t>
            </w:r>
            <w:r w:rsidR="001E0390">
              <w:rPr>
                <w:noProof/>
                <w:webHidden/>
              </w:rPr>
              <w:tab/>
            </w:r>
            <w:r w:rsidR="001E0390">
              <w:rPr>
                <w:noProof/>
                <w:webHidden/>
              </w:rPr>
              <w:fldChar w:fldCharType="begin"/>
            </w:r>
            <w:r w:rsidR="001E0390">
              <w:rPr>
                <w:noProof/>
                <w:webHidden/>
              </w:rPr>
              <w:instrText xml:space="preserve"> PAGEREF _Toc157008369 \h </w:instrText>
            </w:r>
            <w:r w:rsidR="001E0390">
              <w:rPr>
                <w:noProof/>
                <w:webHidden/>
              </w:rPr>
            </w:r>
            <w:r w:rsidR="001E0390">
              <w:rPr>
                <w:noProof/>
                <w:webHidden/>
              </w:rPr>
              <w:fldChar w:fldCharType="separate"/>
            </w:r>
            <w:r w:rsidR="001E0390">
              <w:rPr>
                <w:noProof/>
                <w:webHidden/>
              </w:rPr>
              <w:t>36</w:t>
            </w:r>
            <w:r w:rsidR="001E0390">
              <w:rPr>
                <w:noProof/>
                <w:webHidden/>
              </w:rPr>
              <w:fldChar w:fldCharType="end"/>
            </w:r>
          </w:hyperlink>
        </w:p>
        <w:p w14:paraId="2A3C75E4" w14:textId="2C0E3F5E" w:rsidR="001E0390" w:rsidRDefault="00000000">
          <w:pPr>
            <w:pStyle w:val="Sommario2"/>
            <w:tabs>
              <w:tab w:val="left" w:pos="1540"/>
              <w:tab w:val="right" w:leader="dot" w:pos="9016"/>
            </w:tabs>
            <w:rPr>
              <w:rFonts w:eastAsiaTheme="minorEastAsia" w:cstheme="minorBidi"/>
              <w:smallCaps w:val="0"/>
              <w:noProof/>
              <w:kern w:val="2"/>
              <w:sz w:val="22"/>
              <w:szCs w:val="22"/>
              <w:lang w:eastAsia="it-IT"/>
              <w14:ligatures w14:val="standardContextual"/>
            </w:rPr>
          </w:pPr>
          <w:hyperlink w:anchor="_Toc157008370" w:history="1">
            <w:r w:rsidR="001E0390" w:rsidRPr="00A76162">
              <w:rPr>
                <w:rStyle w:val="Collegamentoipertestuale"/>
                <w:noProof/>
              </w:rPr>
              <w:t xml:space="preserve">Allegato 3: </w:t>
            </w:r>
            <w:r w:rsidR="001E0390">
              <w:rPr>
                <w:rFonts w:eastAsiaTheme="minorEastAsia" w:cstheme="minorBidi"/>
                <w:smallCaps w:val="0"/>
                <w:noProof/>
                <w:kern w:val="2"/>
                <w:sz w:val="22"/>
                <w:szCs w:val="22"/>
                <w:lang w:eastAsia="it-IT"/>
                <w14:ligatures w14:val="standardContextual"/>
              </w:rPr>
              <w:tab/>
            </w:r>
            <w:r w:rsidR="001E0390" w:rsidRPr="00A76162">
              <w:rPr>
                <w:rStyle w:val="Collegamentoipertestuale"/>
                <w:noProof/>
              </w:rPr>
              <w:t>Linee di azione di interesse per l’amministrazione</w:t>
            </w:r>
            <w:r w:rsidR="001E0390">
              <w:rPr>
                <w:noProof/>
                <w:webHidden/>
              </w:rPr>
              <w:tab/>
            </w:r>
            <w:r w:rsidR="001E0390">
              <w:rPr>
                <w:noProof/>
                <w:webHidden/>
              </w:rPr>
              <w:fldChar w:fldCharType="begin"/>
            </w:r>
            <w:r w:rsidR="001E0390">
              <w:rPr>
                <w:noProof/>
                <w:webHidden/>
              </w:rPr>
              <w:instrText xml:space="preserve"> PAGEREF _Toc157008370 \h </w:instrText>
            </w:r>
            <w:r w:rsidR="001E0390">
              <w:rPr>
                <w:noProof/>
                <w:webHidden/>
              </w:rPr>
            </w:r>
            <w:r w:rsidR="001E0390">
              <w:rPr>
                <w:noProof/>
                <w:webHidden/>
              </w:rPr>
              <w:fldChar w:fldCharType="separate"/>
            </w:r>
            <w:r w:rsidR="001E0390">
              <w:rPr>
                <w:noProof/>
                <w:webHidden/>
              </w:rPr>
              <w:t>49</w:t>
            </w:r>
            <w:r w:rsidR="001E0390">
              <w:rPr>
                <w:noProof/>
                <w:webHidden/>
              </w:rPr>
              <w:fldChar w:fldCharType="end"/>
            </w:r>
          </w:hyperlink>
        </w:p>
        <w:p w14:paraId="6C8363F2" w14:textId="2A323B21"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71" w:history="1">
            <w:r w:rsidR="001E0390" w:rsidRPr="00A76162">
              <w:rPr>
                <w:rStyle w:val="Collegamentoipertestuale"/>
                <w:noProof/>
              </w:rPr>
              <w:t>Struttura schede Linee di Azione</w:t>
            </w:r>
            <w:r w:rsidR="001E0390">
              <w:rPr>
                <w:noProof/>
                <w:webHidden/>
              </w:rPr>
              <w:tab/>
            </w:r>
            <w:r w:rsidR="001E0390">
              <w:rPr>
                <w:noProof/>
                <w:webHidden/>
              </w:rPr>
              <w:fldChar w:fldCharType="begin"/>
            </w:r>
            <w:r w:rsidR="001E0390">
              <w:rPr>
                <w:noProof/>
                <w:webHidden/>
              </w:rPr>
              <w:instrText xml:space="preserve"> PAGEREF _Toc157008371 \h </w:instrText>
            </w:r>
            <w:r w:rsidR="001E0390">
              <w:rPr>
                <w:noProof/>
                <w:webHidden/>
              </w:rPr>
            </w:r>
            <w:r w:rsidR="001E0390">
              <w:rPr>
                <w:noProof/>
                <w:webHidden/>
              </w:rPr>
              <w:fldChar w:fldCharType="separate"/>
            </w:r>
            <w:r w:rsidR="001E0390">
              <w:rPr>
                <w:noProof/>
                <w:webHidden/>
              </w:rPr>
              <w:t>49</w:t>
            </w:r>
            <w:r w:rsidR="001E0390">
              <w:rPr>
                <w:noProof/>
                <w:webHidden/>
              </w:rPr>
              <w:fldChar w:fldCharType="end"/>
            </w:r>
          </w:hyperlink>
        </w:p>
        <w:p w14:paraId="079E3CFE" w14:textId="51197366"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72" w:history="1">
            <w:r w:rsidR="001E0390" w:rsidRPr="00A76162">
              <w:rPr>
                <w:rStyle w:val="Collegamentoipertestuale"/>
                <w:noProof/>
              </w:rPr>
              <w:t>Legenda dei simboli</w:t>
            </w:r>
            <w:r w:rsidR="001E0390">
              <w:rPr>
                <w:noProof/>
                <w:webHidden/>
              </w:rPr>
              <w:tab/>
            </w:r>
            <w:r w:rsidR="001E0390">
              <w:rPr>
                <w:noProof/>
                <w:webHidden/>
              </w:rPr>
              <w:fldChar w:fldCharType="begin"/>
            </w:r>
            <w:r w:rsidR="001E0390">
              <w:rPr>
                <w:noProof/>
                <w:webHidden/>
              </w:rPr>
              <w:instrText xml:space="preserve"> PAGEREF _Toc157008372 \h </w:instrText>
            </w:r>
            <w:r w:rsidR="001E0390">
              <w:rPr>
                <w:noProof/>
                <w:webHidden/>
              </w:rPr>
            </w:r>
            <w:r w:rsidR="001E0390">
              <w:rPr>
                <w:noProof/>
                <w:webHidden/>
              </w:rPr>
              <w:fldChar w:fldCharType="separate"/>
            </w:r>
            <w:r w:rsidR="001E0390">
              <w:rPr>
                <w:noProof/>
                <w:webHidden/>
              </w:rPr>
              <w:t>50</w:t>
            </w:r>
            <w:r w:rsidR="001E0390">
              <w:rPr>
                <w:noProof/>
                <w:webHidden/>
              </w:rPr>
              <w:fldChar w:fldCharType="end"/>
            </w:r>
          </w:hyperlink>
        </w:p>
        <w:p w14:paraId="5C969C56" w14:textId="5FBCB006"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73" w:history="1">
            <w:r w:rsidR="001E0390" w:rsidRPr="00A76162">
              <w:rPr>
                <w:rStyle w:val="Collegamentoipertestuale"/>
                <w:noProof/>
              </w:rPr>
              <w:t>Elenco Linee da zione come da 3 piani AgID</w:t>
            </w:r>
            <w:r w:rsidR="001E0390">
              <w:rPr>
                <w:noProof/>
                <w:webHidden/>
              </w:rPr>
              <w:tab/>
            </w:r>
            <w:r w:rsidR="001E0390">
              <w:rPr>
                <w:noProof/>
                <w:webHidden/>
              </w:rPr>
              <w:fldChar w:fldCharType="begin"/>
            </w:r>
            <w:r w:rsidR="001E0390">
              <w:rPr>
                <w:noProof/>
                <w:webHidden/>
              </w:rPr>
              <w:instrText xml:space="preserve"> PAGEREF _Toc157008373 \h </w:instrText>
            </w:r>
            <w:r w:rsidR="001E0390">
              <w:rPr>
                <w:noProof/>
                <w:webHidden/>
              </w:rPr>
            </w:r>
            <w:r w:rsidR="001E0390">
              <w:rPr>
                <w:noProof/>
                <w:webHidden/>
              </w:rPr>
              <w:fldChar w:fldCharType="separate"/>
            </w:r>
            <w:r w:rsidR="001E0390">
              <w:rPr>
                <w:noProof/>
                <w:webHidden/>
              </w:rPr>
              <w:t>52</w:t>
            </w:r>
            <w:r w:rsidR="001E0390">
              <w:rPr>
                <w:noProof/>
                <w:webHidden/>
              </w:rPr>
              <w:fldChar w:fldCharType="end"/>
            </w:r>
          </w:hyperlink>
        </w:p>
        <w:p w14:paraId="18F874B3" w14:textId="3A21AF79" w:rsidR="001E0390" w:rsidRDefault="00000000">
          <w:pPr>
            <w:pStyle w:val="Sommario3"/>
            <w:rPr>
              <w:rFonts w:eastAsiaTheme="minorEastAsia" w:cstheme="minorBidi"/>
              <w:i w:val="0"/>
              <w:iCs w:val="0"/>
              <w:noProof/>
              <w:kern w:val="2"/>
              <w:sz w:val="22"/>
              <w:szCs w:val="22"/>
              <w:lang w:eastAsia="it-IT"/>
              <w14:ligatures w14:val="standardContextual"/>
            </w:rPr>
          </w:pPr>
          <w:hyperlink w:anchor="_Toc157008374" w:history="1">
            <w:r w:rsidR="001E0390" w:rsidRPr="00A76162">
              <w:rPr>
                <w:rStyle w:val="Collegamentoipertestuale"/>
                <w:noProof/>
              </w:rPr>
              <w:t>Avanzamento linee di azione per Comune di XXXXXXXXXXXX</w:t>
            </w:r>
            <w:r w:rsidR="001E0390">
              <w:rPr>
                <w:noProof/>
                <w:webHidden/>
              </w:rPr>
              <w:tab/>
            </w:r>
            <w:r w:rsidR="001E0390">
              <w:rPr>
                <w:noProof/>
                <w:webHidden/>
              </w:rPr>
              <w:fldChar w:fldCharType="begin"/>
            </w:r>
            <w:r w:rsidR="001E0390">
              <w:rPr>
                <w:noProof/>
                <w:webHidden/>
              </w:rPr>
              <w:instrText xml:space="preserve"> PAGEREF _Toc157008374 \h </w:instrText>
            </w:r>
            <w:r w:rsidR="001E0390">
              <w:rPr>
                <w:noProof/>
                <w:webHidden/>
              </w:rPr>
            </w:r>
            <w:r w:rsidR="001E0390">
              <w:rPr>
                <w:noProof/>
                <w:webHidden/>
              </w:rPr>
              <w:fldChar w:fldCharType="separate"/>
            </w:r>
            <w:r w:rsidR="001E0390">
              <w:rPr>
                <w:noProof/>
                <w:webHidden/>
              </w:rPr>
              <w:t>61</w:t>
            </w:r>
            <w:r w:rsidR="001E0390">
              <w:rPr>
                <w:noProof/>
                <w:webHidden/>
              </w:rPr>
              <w:fldChar w:fldCharType="end"/>
            </w:r>
          </w:hyperlink>
        </w:p>
        <w:p w14:paraId="5F075EDE" w14:textId="0EA1A842" w:rsidR="00C77C37" w:rsidRDefault="00204E95" w:rsidP="0014034E">
          <w:pPr>
            <w:pStyle w:val="Sommario4"/>
            <w:tabs>
              <w:tab w:val="right" w:leader="dot" w:pos="9776"/>
            </w:tabs>
            <w:spacing w:line="240" w:lineRule="auto"/>
            <w:rPr>
              <w:sz w:val="22"/>
              <w:szCs w:val="22"/>
              <w:lang w:val="en-GB" w:eastAsia="en-GB"/>
            </w:rPr>
          </w:pPr>
          <w:r>
            <w:rPr>
              <w:rStyle w:val="Saltoaindice"/>
            </w:rPr>
            <w:fldChar w:fldCharType="end"/>
          </w:r>
        </w:p>
      </w:sdtContent>
    </w:sdt>
    <w:p w14:paraId="38CF63A9" w14:textId="77777777" w:rsidR="00C77C37" w:rsidRDefault="00204E95">
      <w:pPr>
        <w:spacing w:before="0" w:after="0" w:line="240" w:lineRule="auto"/>
        <w:ind w:left="0" w:right="147"/>
        <w:jc w:val="left"/>
        <w:rPr>
          <w:rFonts w:ascii="Calibri Light" w:eastAsia="Calibri" w:hAnsi="Calibri Light"/>
          <w:b/>
          <w:bCs/>
          <w:color w:val="2F5496"/>
          <w:sz w:val="32"/>
          <w:szCs w:val="32"/>
          <w:u w:val="single"/>
        </w:rPr>
      </w:pPr>
      <w:r>
        <w:br w:type="page"/>
      </w:r>
    </w:p>
    <w:p w14:paraId="072F0B49" w14:textId="77777777" w:rsidR="00C77C37" w:rsidRDefault="00204E95">
      <w:pPr>
        <w:pStyle w:val="Titolo1"/>
        <w:spacing w:before="0"/>
        <w:rPr>
          <w:rFonts w:eastAsia="Calibri"/>
        </w:rPr>
      </w:pPr>
      <w:bookmarkStart w:id="2" w:name="_Toc127366210"/>
      <w:bookmarkStart w:id="3" w:name="_Toc157008322"/>
      <w:r>
        <w:rPr>
          <w:rFonts w:eastAsia="Calibri"/>
        </w:rPr>
        <w:lastRenderedPageBreak/>
        <w:t>PARTE I</w:t>
      </w:r>
      <w:r>
        <w:rPr>
          <w:rFonts w:eastAsia="Calibri"/>
          <w:vertAlign w:val="superscript"/>
        </w:rPr>
        <w:t>a</w:t>
      </w:r>
      <w:r>
        <w:rPr>
          <w:rFonts w:eastAsia="Calibri"/>
        </w:rPr>
        <w:t xml:space="preserve"> - IL PIANO TRIENNALE</w:t>
      </w:r>
      <w:bookmarkEnd w:id="0"/>
      <w:bookmarkEnd w:id="1"/>
      <w:bookmarkEnd w:id="2"/>
      <w:bookmarkEnd w:id="3"/>
    </w:p>
    <w:p w14:paraId="32D0AE89" w14:textId="39C2E548" w:rsidR="00C77C37" w:rsidRDefault="007249C2">
      <w:pPr>
        <w:pStyle w:val="Titolo2"/>
      </w:pPr>
      <w:bookmarkStart w:id="4" w:name="_Toc157008323"/>
      <w:r>
        <w:t>Premessa</w:t>
      </w:r>
      <w:bookmarkEnd w:id="4"/>
    </w:p>
    <w:p w14:paraId="0AC48E65" w14:textId="77777777" w:rsidR="00C77C37" w:rsidRDefault="00204E95">
      <w:r>
        <w:t>Il Piano Triennale per l’informatica della Pubblica Amministrazione (di seguito Piano Triennale o Piano ICT) è uno strumento essenziale per promuovere la trasformazione digitale del Paese e, in particolare, quella della Pubblica Amministrazione italiana.</w:t>
      </w:r>
    </w:p>
    <w:p w14:paraId="31977D41" w14:textId="77777777" w:rsidR="00C77C37" w:rsidRDefault="00204E95">
      <w:r>
        <w:t>Le sfide che aspettano il sistema Paese nei prossimi anni sono di sicuro rilievo e riguarderanno la trasformazione del Paese verso nuovi orizzonti in termini di digitalizzazione, transizione ecologica, mobilità sostenibile, istruzione, inclusione e coesione sociale e salute, tutti obiettivi delle linee di sviluppo e investimento individuate dall’UE per il rilancio dell’economia e della vita in Europa.</w:t>
      </w:r>
    </w:p>
    <w:p w14:paraId="1BACE1CF" w14:textId="77777777" w:rsidR="00C77C37" w:rsidRDefault="00204E95">
      <w:pPr>
        <w:spacing w:before="0"/>
      </w:pPr>
      <w:r>
        <w:t>Resta centrale la necessità di rivedere l’organizzazione dei processi confermando come i servizi digitali e l’informatizzazione siano un perno della trasformazione digitale del Paese.</w:t>
      </w:r>
    </w:p>
    <w:p w14:paraId="525F88B5" w14:textId="77777777" w:rsidR="00C77C37" w:rsidRDefault="00204E95">
      <w:pPr>
        <w:spacing w:before="0"/>
      </w:pPr>
      <w:r>
        <w:t xml:space="preserve">In particolare, Il </w:t>
      </w:r>
      <w:hyperlink r:id="rId12">
        <w:r>
          <w:rPr>
            <w:rStyle w:val="Collegamentoipertestuale"/>
          </w:rPr>
          <w:t xml:space="preserve">Piano Nazionale di Ripresa e Resilienza (PNRR) </w:t>
        </w:r>
      </w:hyperlink>
      <w:r>
        <w:t xml:space="preserve">è lo strumento che, grazie ai fondi del Next Generation Europe EU (NGEU), prevede un’azione ingente di investimento </w:t>
      </w:r>
    </w:p>
    <w:p w14:paraId="360C5EAC" w14:textId="77777777" w:rsidR="00C77C37" w:rsidRDefault="00204E95">
      <w:pPr>
        <w:spacing w:before="0"/>
      </w:pPr>
      <w:r>
        <w:t>Il PNRR si sviluppa intorno a tre assi strategici condivisi a livello europeo, tra cui quello della digitalizzazione e innovazione. Il PNRR prevede in particolare nella componente denominata “Digitalizzazione, innovazione e sicurezza nella PA”.</w:t>
      </w:r>
    </w:p>
    <w:p w14:paraId="1398BAF0" w14:textId="77777777" w:rsidR="00C77C37" w:rsidRDefault="00204E95">
      <w:pPr>
        <w:spacing w:before="0"/>
      </w:pPr>
      <w:r>
        <w:t xml:space="preserve">Gli obiettivi dell’aggiornamento 2022 –2024 tengono anche conto, oltre che dei principi dell'eGovernment Action Plan 2016-2020, delle azioni previste dalla </w:t>
      </w:r>
      <w:hyperlink r:id="rId13">
        <w:r>
          <w:rPr>
            <w:rStyle w:val="Collegamentoipertestuale"/>
          </w:rPr>
          <w:t>eGovernment Declaration di</w:t>
        </w:r>
      </w:hyperlink>
      <w:r>
        <w:t xml:space="preserve"> </w:t>
      </w:r>
      <w:hyperlink r:id="rId14">
        <w:r>
          <w:rPr>
            <w:rStyle w:val="Collegamentoipertestuale"/>
          </w:rPr>
          <w:t xml:space="preserve">Tallinn (2017-2021), </w:t>
        </w:r>
      </w:hyperlink>
      <w:r>
        <w:t xml:space="preserve">delle indicazioni della nuova programmazione europea 2021-2027, dei target al 2030 del </w:t>
      </w:r>
      <w:hyperlink r:id="rId15">
        <w:r>
          <w:rPr>
            <w:rStyle w:val="Collegamentoipertestuale"/>
          </w:rPr>
          <w:t xml:space="preserve">Digital Compass, </w:t>
        </w:r>
      </w:hyperlink>
      <w:r>
        <w:t>i cui indicatori misurano il livello di digitalizzazione in tutta l’UE e rilevano l’effettiva presenza e l’uso dei servizi digitali da parte dei cittadini e imprese.</w:t>
      </w:r>
    </w:p>
    <w:p w14:paraId="6548437B" w14:textId="77777777" w:rsidR="00C77C37" w:rsidRDefault="00204E95">
      <w:pPr>
        <w:spacing w:before="0"/>
      </w:pPr>
      <w:r>
        <w:t>La redazione del Piano Triennale 2022-2024, conferma l’attenzione dell’Ente circa la realizzazione delle azioni previste ed il monitoraggio dei risultati raggiunti nel raggiungimento degli obiettivi predefiniti.</w:t>
      </w:r>
    </w:p>
    <w:p w14:paraId="2051ABAA" w14:textId="77777777" w:rsidR="00C77C37" w:rsidRDefault="00204E95">
      <w:pPr>
        <w:spacing w:before="0" w:after="60"/>
        <w:ind w:right="142"/>
      </w:pPr>
      <w:r>
        <w:t xml:space="preserve">In particolare, questo PT (2022-2024) è caratterizzato dalla accelerazione della fase di </w:t>
      </w:r>
      <w:r>
        <w:rPr>
          <w:i/>
          <w:iCs/>
        </w:rPr>
        <w:t xml:space="preserve">execution </w:t>
      </w:r>
      <w:r>
        <w:t xml:space="preserve">della trasformazione digitale della PA, anche attraverso, il riferimento ai </w:t>
      </w:r>
      <w:r>
        <w:rPr>
          <w:i/>
          <w:iCs/>
        </w:rPr>
        <w:t xml:space="preserve">target </w:t>
      </w:r>
      <w:r>
        <w:t xml:space="preserve">e alle linee di azione del PNRR. </w:t>
      </w:r>
    </w:p>
    <w:p w14:paraId="78335466" w14:textId="77777777" w:rsidR="00C77C37" w:rsidRDefault="00204E95">
      <w:pPr>
        <w:spacing w:before="0" w:after="60"/>
        <w:ind w:right="142"/>
      </w:pPr>
      <w:r>
        <w:lastRenderedPageBreak/>
        <w:t xml:space="preserve">Il presente Piano Triennale, riporta la struttura e articolazione del documento, come definito da AgID, suddivisa in </w:t>
      </w:r>
    </w:p>
    <w:p w14:paraId="6439BD5F" w14:textId="77777777" w:rsidR="00C77C37" w:rsidRDefault="00204E95">
      <w:pPr>
        <w:pStyle w:val="Paragrafoelenco"/>
        <w:numPr>
          <w:ilvl w:val="0"/>
          <w:numId w:val="28"/>
        </w:numPr>
      </w:pPr>
      <w:r>
        <w:rPr>
          <w:b/>
          <w:bCs/>
        </w:rPr>
        <w:t xml:space="preserve">PARTE I – IL PIANO TRIENNALE </w:t>
      </w:r>
      <w:r>
        <w:t>composta da un’introduzione denominata “</w:t>
      </w:r>
      <w:r>
        <w:rPr>
          <w:i/>
          <w:iCs/>
        </w:rPr>
        <w:t xml:space="preserve">executive summary” </w:t>
      </w:r>
      <w:r>
        <w:t xml:space="preserve">seguita dalla descrizione della strategia e un approfondimento sui principi guida dell’Ente. </w:t>
      </w:r>
    </w:p>
    <w:p w14:paraId="1622CA25" w14:textId="77777777" w:rsidR="00C77C37" w:rsidRDefault="00204E95">
      <w:pPr>
        <w:pStyle w:val="Paragrafoelenco"/>
        <w:numPr>
          <w:ilvl w:val="0"/>
          <w:numId w:val="28"/>
        </w:numPr>
      </w:pPr>
      <w:r>
        <w:rPr>
          <w:b/>
          <w:bCs/>
        </w:rPr>
        <w:t xml:space="preserve">PARTE II – LE COMPONENTI TECNOLOGICHE </w:t>
      </w:r>
      <w:r>
        <w:t xml:space="preserve">suddivisa in 6 capitoli corrispondenti ai livelli rappresentati nel Modello strategico di riferimento definito da AgID. </w:t>
      </w:r>
    </w:p>
    <w:p w14:paraId="4FB19EBE" w14:textId="77777777" w:rsidR="00C77C37" w:rsidRDefault="00204E95">
      <w:pPr>
        <w:pStyle w:val="Paragrafoelenco"/>
        <w:numPr>
          <w:ilvl w:val="0"/>
          <w:numId w:val="28"/>
        </w:numPr>
      </w:pPr>
      <w:r>
        <w:rPr>
          <w:b/>
          <w:bCs/>
        </w:rPr>
        <w:t xml:space="preserve">PARTE III – LA GOVERNANCE </w:t>
      </w:r>
      <w:r>
        <w:t>suddivisa in 2 capitoli che descrivono le leve a disposizione dell’Ente per gestire il piano e la governance da attuare per la trasformazione digitale del Paese in funzione delle azioni in carico all’ Ente stesso.</w:t>
      </w:r>
    </w:p>
    <w:p w14:paraId="6C23CCCA" w14:textId="14D85977" w:rsidR="00C77C37" w:rsidRDefault="00204E95">
      <w:pPr>
        <w:pStyle w:val="Paragrafoelenco"/>
        <w:numPr>
          <w:ilvl w:val="0"/>
          <w:numId w:val="28"/>
        </w:numPr>
      </w:pPr>
      <w:r>
        <w:rPr>
          <w:b/>
          <w:bCs/>
        </w:rPr>
        <w:t xml:space="preserve">Parte IV – Allegati </w:t>
      </w:r>
      <w:r>
        <w:t>suddivisa in tre parti:</w:t>
      </w:r>
    </w:p>
    <w:p w14:paraId="3474658F" w14:textId="77777777" w:rsidR="00C77C37" w:rsidRDefault="00204E95">
      <w:pPr>
        <w:pStyle w:val="Paragrafoelenco"/>
        <w:numPr>
          <w:ilvl w:val="1"/>
          <w:numId w:val="28"/>
        </w:numPr>
      </w:pPr>
      <w:r>
        <w:t>Allegato 1: Contesto Normativo e strategico;</w:t>
      </w:r>
    </w:p>
    <w:p w14:paraId="7068E24F" w14:textId="77777777" w:rsidR="00C77C37" w:rsidRDefault="00204E95">
      <w:pPr>
        <w:pStyle w:val="Paragrafoelenco"/>
        <w:numPr>
          <w:ilvl w:val="1"/>
          <w:numId w:val="28"/>
        </w:numPr>
      </w:pPr>
      <w:r>
        <w:t>Allegato 2: Obiettivi e risultati attesi definiti da AgID per le Pubbliche Amministrazioni.;</w:t>
      </w:r>
    </w:p>
    <w:p w14:paraId="02BED5DB" w14:textId="77777777" w:rsidR="00C77C37" w:rsidRDefault="00204E95">
      <w:pPr>
        <w:pStyle w:val="Paragrafoelenco"/>
        <w:numPr>
          <w:ilvl w:val="1"/>
          <w:numId w:val="28"/>
        </w:numPr>
      </w:pPr>
      <w:r>
        <w:t>Allegato 3: Linee di azione di interesse per l’amministrazione</w:t>
      </w:r>
      <w:r>
        <w:tab/>
        <w:t>.</w:t>
      </w:r>
    </w:p>
    <w:p w14:paraId="6E1EEE6C" w14:textId="77777777" w:rsidR="00C77C37" w:rsidRDefault="00204E95">
      <w:pPr>
        <w:spacing w:before="0" w:after="60"/>
        <w:ind w:right="142"/>
      </w:pPr>
      <w:r>
        <w:rPr>
          <w:u w:val="single"/>
        </w:rPr>
        <w:t>I capitoli della PARTE II e PARTE III hanno la seguente struttura</w:t>
      </w:r>
      <w:r>
        <w:t xml:space="preserve">: </w:t>
      </w:r>
    </w:p>
    <w:p w14:paraId="33ADAA76" w14:textId="6C231ECC" w:rsidR="00C77C37" w:rsidRDefault="00204E95">
      <w:pPr>
        <w:pStyle w:val="Paragrafoelenco"/>
        <w:numPr>
          <w:ilvl w:val="0"/>
          <w:numId w:val="29"/>
        </w:numPr>
      </w:pPr>
      <w:r>
        <w:t xml:space="preserve">breve introduzione che descrive i temi affrontati offrendo un’anteprima degli scenari futuri; </w:t>
      </w:r>
    </w:p>
    <w:p w14:paraId="287139C6" w14:textId="321FCC4C" w:rsidR="00C77C37" w:rsidRDefault="00204E95">
      <w:pPr>
        <w:pStyle w:val="Paragrafoelenco"/>
        <w:numPr>
          <w:ilvl w:val="0"/>
          <w:numId w:val="29"/>
        </w:numPr>
      </w:pPr>
      <w:r>
        <w:t>la sezione Obiettivi e risultati attesi</w:t>
      </w:r>
      <w:r>
        <w:rPr>
          <w:b/>
          <w:bCs/>
        </w:rPr>
        <w:t xml:space="preserve"> </w:t>
      </w:r>
      <w:r>
        <w:t>che descrive gli obiettivi prefissati, e, per ciascun obiettivo, individua i risultati attesi (R.A.) e relativi target.</w:t>
      </w:r>
    </w:p>
    <w:p w14:paraId="1AC230A8" w14:textId="6CE855FC" w:rsidR="00C77C37" w:rsidRDefault="00204E95" w:rsidP="00C92676">
      <w:pPr>
        <w:pStyle w:val="Paragrafoelenco"/>
        <w:tabs>
          <w:tab w:val="clear" w:pos="720"/>
          <w:tab w:val="num" w:pos="1006"/>
        </w:tabs>
        <w:ind w:left="1006"/>
      </w:pPr>
      <w:r>
        <w:t>per comodità di lettura (rispetto al modello AgID di riferimento) sono riportati nella parte IV del documento (Allegati):</w:t>
      </w:r>
    </w:p>
    <w:p w14:paraId="26D15AB3" w14:textId="3223E57C" w:rsidR="00C77C37" w:rsidRDefault="00204E95" w:rsidP="00C92676">
      <w:pPr>
        <w:pStyle w:val="Paragrafoelenco"/>
        <w:numPr>
          <w:ilvl w:val="1"/>
          <w:numId w:val="29"/>
        </w:numPr>
        <w:tabs>
          <w:tab w:val="clear" w:pos="0"/>
        </w:tabs>
      </w:pPr>
      <w:r>
        <w:t>il Contesto normativo e strategico, riportato per componente tecnologica, che elenca i riferimenti sia normativi che strategici a cui le amministrazioni devono attenersi, in termini di fonti normative con link a documenti / siti ufficiali e riferimenti ad attività progettuali finanziate, compresi i riferimenti agli specifici investimenti del PNRR.</w:t>
      </w:r>
    </w:p>
    <w:p w14:paraId="48914B4F" w14:textId="77777777" w:rsidR="00C77C37" w:rsidRDefault="00204E95" w:rsidP="00C92676">
      <w:pPr>
        <w:pStyle w:val="Paragrafoelenco"/>
        <w:numPr>
          <w:ilvl w:val="1"/>
          <w:numId w:val="29"/>
        </w:numPr>
        <w:tabs>
          <w:tab w:val="clear" w:pos="0"/>
        </w:tabs>
      </w:pPr>
      <w:r>
        <w:t xml:space="preserve">L’elenco delle singole linee di azione, riportate per componente tecnologica ed obiettivi; che sono state sintetizzate in schede che aggiornano la </w:t>
      </w:r>
      <w:r>
        <w:rPr>
          <w:i/>
          <w:iCs/>
        </w:rPr>
        <w:t xml:space="preserve">roadmap </w:t>
      </w:r>
      <w:r>
        <w:t xml:space="preserve">delle Linee d’Azione (attività) a carico dell’ENTE, e che riportano le seguenti informazioni: </w:t>
      </w:r>
    </w:p>
    <w:p w14:paraId="0902FE14" w14:textId="77777777" w:rsidR="00C77C37" w:rsidRDefault="00204E95" w:rsidP="00C92676">
      <w:pPr>
        <w:pStyle w:val="Paragrafoelenco"/>
        <w:numPr>
          <w:ilvl w:val="2"/>
          <w:numId w:val="29"/>
        </w:numPr>
        <w:tabs>
          <w:tab w:val="clear" w:pos="0"/>
        </w:tabs>
      </w:pPr>
      <w:r>
        <w:t>Componente tecnologica</w:t>
      </w:r>
    </w:p>
    <w:p w14:paraId="52D9F9B7" w14:textId="77777777" w:rsidR="00C77C37" w:rsidRDefault="00204E95" w:rsidP="00C92676">
      <w:pPr>
        <w:pStyle w:val="Paragrafoelenco"/>
        <w:numPr>
          <w:ilvl w:val="2"/>
          <w:numId w:val="29"/>
        </w:numPr>
        <w:tabs>
          <w:tab w:val="clear" w:pos="0"/>
        </w:tabs>
      </w:pPr>
      <w:r>
        <w:lastRenderedPageBreak/>
        <w:t>Obiettivo</w:t>
      </w:r>
    </w:p>
    <w:p w14:paraId="0F4DC104" w14:textId="77777777" w:rsidR="00C77C37" w:rsidRDefault="00204E95" w:rsidP="00C92676">
      <w:pPr>
        <w:pStyle w:val="Paragrafoelenco"/>
        <w:numPr>
          <w:ilvl w:val="2"/>
          <w:numId w:val="29"/>
        </w:numPr>
        <w:tabs>
          <w:tab w:val="clear" w:pos="0"/>
        </w:tabs>
      </w:pPr>
      <w:r>
        <w:t>Linea di azione per ogni edizione del piano AgID</w:t>
      </w:r>
    </w:p>
    <w:p w14:paraId="34F280A2" w14:textId="77777777" w:rsidR="00C77C37" w:rsidRDefault="00204E95" w:rsidP="00C92676">
      <w:pPr>
        <w:pStyle w:val="Paragrafoelenco"/>
        <w:numPr>
          <w:ilvl w:val="2"/>
          <w:numId w:val="29"/>
        </w:numPr>
        <w:tabs>
          <w:tab w:val="clear" w:pos="0"/>
        </w:tabs>
      </w:pPr>
      <w:r>
        <w:t>Data di inizio come da piano AgiD</w:t>
      </w:r>
    </w:p>
    <w:p w14:paraId="563D99F2" w14:textId="77777777" w:rsidR="00C77C37" w:rsidRDefault="00204E95" w:rsidP="00C92676">
      <w:pPr>
        <w:pStyle w:val="Paragrafoelenco"/>
        <w:numPr>
          <w:ilvl w:val="2"/>
          <w:numId w:val="29"/>
        </w:numPr>
        <w:tabs>
          <w:tab w:val="clear" w:pos="0"/>
        </w:tabs>
      </w:pPr>
      <w:r>
        <w:t>Data di Completamento come da piano AgiD</w:t>
      </w:r>
    </w:p>
    <w:p w14:paraId="1447C39D" w14:textId="77777777" w:rsidR="00C77C37" w:rsidRDefault="00204E95" w:rsidP="00C92676">
      <w:pPr>
        <w:pStyle w:val="Paragrafoelenco"/>
        <w:numPr>
          <w:ilvl w:val="2"/>
          <w:numId w:val="29"/>
        </w:numPr>
        <w:tabs>
          <w:tab w:val="clear" w:pos="0"/>
        </w:tabs>
      </w:pPr>
      <w:r>
        <w:t>Data di inizio definita dall’Ente</w:t>
      </w:r>
    </w:p>
    <w:p w14:paraId="20282AB0" w14:textId="77777777" w:rsidR="00C77C37" w:rsidRDefault="00204E95" w:rsidP="00C92676">
      <w:pPr>
        <w:pStyle w:val="Paragrafoelenco"/>
        <w:numPr>
          <w:ilvl w:val="2"/>
          <w:numId w:val="29"/>
        </w:numPr>
        <w:tabs>
          <w:tab w:val="clear" w:pos="0"/>
        </w:tabs>
      </w:pPr>
      <w:r>
        <w:t>Data di Completamento definita dall’Ente</w:t>
      </w:r>
    </w:p>
    <w:p w14:paraId="3FFA74CF" w14:textId="77777777" w:rsidR="00C77C37" w:rsidRDefault="00204E95" w:rsidP="00C92676">
      <w:pPr>
        <w:pStyle w:val="Paragrafoelenco"/>
        <w:numPr>
          <w:ilvl w:val="2"/>
          <w:numId w:val="29"/>
        </w:numPr>
        <w:tabs>
          <w:tab w:val="clear" w:pos="0"/>
        </w:tabs>
      </w:pPr>
      <w:r>
        <w:t>Stato della linea di azione (In corso, Conclusa con successo, Bloccata per ragioni esterne all’Ente, Non applicabile alla tipologia di Ente, Pianificata)</w:t>
      </w:r>
    </w:p>
    <w:p w14:paraId="065FFEFF" w14:textId="77777777" w:rsidR="00C77C37" w:rsidRDefault="00204E95" w:rsidP="00C92676">
      <w:pPr>
        <w:pStyle w:val="Paragrafoelenco"/>
        <w:numPr>
          <w:ilvl w:val="2"/>
          <w:numId w:val="29"/>
        </w:numPr>
        <w:tabs>
          <w:tab w:val="clear" w:pos="0"/>
        </w:tabs>
      </w:pPr>
      <w:r>
        <w:t>Fonte di finanziamento</w:t>
      </w:r>
    </w:p>
    <w:p w14:paraId="2BC62F4A" w14:textId="77777777" w:rsidR="00C77C37" w:rsidRDefault="00204E95" w:rsidP="00C92676">
      <w:pPr>
        <w:pStyle w:val="Paragrafoelenco"/>
        <w:numPr>
          <w:ilvl w:val="2"/>
          <w:numId w:val="29"/>
        </w:numPr>
        <w:tabs>
          <w:tab w:val="clear" w:pos="0"/>
        </w:tabs>
      </w:pPr>
      <w:r>
        <w:t>Responsabile dell’attuazione e controllo della Linea di Azione.</w:t>
      </w:r>
    </w:p>
    <w:p w14:paraId="6D10FBA1" w14:textId="25D36BFA" w:rsidR="00C77C37" w:rsidRDefault="00204E95">
      <w:pPr>
        <w:spacing w:before="0" w:after="60"/>
        <w:ind w:right="142"/>
      </w:pPr>
      <w:r>
        <w:t xml:space="preserve">Il piano approntato segue le linee strategiche definite dall’Ente a fine della Legislatura precedente (giugno 2022), </w:t>
      </w:r>
      <w:r w:rsidRPr="007457F1">
        <w:t xml:space="preserve">tali indirizzi definiti nella precedente edizione del piano (formulato in una forma non aderente allo </w:t>
      </w:r>
      <w:r w:rsidR="007457F1">
        <w:t>standard d</w:t>
      </w:r>
      <w:r w:rsidRPr="007457F1">
        <w:t>ocumentale</w:t>
      </w:r>
      <w:r>
        <w:t xml:space="preserve"> definito da Agid pur facendo riferimento alle direttive emanate) sono sintetizzati nei paragrafi riportati nel documento.</w:t>
      </w:r>
    </w:p>
    <w:p w14:paraId="3F922FD9" w14:textId="77777777" w:rsidR="00C77C37" w:rsidRDefault="00204E95">
      <w:pPr>
        <w:spacing w:before="0" w:after="160" w:line="259" w:lineRule="auto"/>
        <w:ind w:left="0" w:right="0"/>
        <w:jc w:val="left"/>
        <w:rPr>
          <w:rFonts w:ascii="Calibri Light" w:eastAsia="Calibri" w:hAnsi="Calibri Light" w:cs="Calibri Light"/>
          <w:color w:val="4472C4"/>
          <w:sz w:val="32"/>
          <w:szCs w:val="32"/>
        </w:rPr>
      </w:pPr>
      <w:r>
        <w:br w:type="page"/>
      </w:r>
    </w:p>
    <w:p w14:paraId="66426215" w14:textId="77777777" w:rsidR="00C77C37" w:rsidRDefault="00204E95">
      <w:pPr>
        <w:pStyle w:val="Titolo2"/>
      </w:pPr>
      <w:bookmarkStart w:id="5" w:name="_Toc93328302"/>
      <w:bookmarkStart w:id="6" w:name="_Toc127285867"/>
      <w:bookmarkStart w:id="7" w:name="_Toc127366219"/>
      <w:bookmarkStart w:id="8" w:name="_Toc157008324"/>
      <w:r>
        <w:lastRenderedPageBreak/>
        <w:t>Acronimi, abbreviazioni e definizioni</w:t>
      </w:r>
      <w:bookmarkEnd w:id="5"/>
      <w:bookmarkEnd w:id="6"/>
      <w:bookmarkEnd w:id="7"/>
      <w:bookmarkEnd w:id="8"/>
    </w:p>
    <w:tbl>
      <w:tblPr>
        <w:tblW w:w="9781" w:type="dxa"/>
        <w:tblInd w:w="-5" w:type="dxa"/>
        <w:tblLayout w:type="fixed"/>
        <w:tblLook w:val="0000" w:firstRow="0" w:lastRow="0" w:firstColumn="0" w:lastColumn="0" w:noHBand="0" w:noVBand="0"/>
      </w:tblPr>
      <w:tblGrid>
        <w:gridCol w:w="1697"/>
        <w:gridCol w:w="8084"/>
      </w:tblGrid>
      <w:tr w:rsidR="00C77C37" w14:paraId="510AA9C9"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Pr>
          <w:p w14:paraId="1BB9C00F" w14:textId="77777777" w:rsidR="00C77C37" w:rsidRDefault="00204E95">
            <w:pPr>
              <w:widowControl w:val="0"/>
              <w:spacing w:before="0"/>
              <w:rPr>
                <w:b/>
                <w:bCs/>
                <w:color w:val="FFFFFF"/>
              </w:rPr>
            </w:pPr>
            <w:r>
              <w:rPr>
                <w:b/>
                <w:bCs/>
                <w:color w:val="FFFFFF" w:themeColor="background1"/>
              </w:rPr>
              <w:t>Acronimo</w:t>
            </w:r>
          </w:p>
        </w:tc>
        <w:tc>
          <w:tcPr>
            <w:tcW w:w="8083"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Pr>
          <w:p w14:paraId="4009BFAA" w14:textId="77777777" w:rsidR="00C77C37" w:rsidRDefault="00204E95">
            <w:pPr>
              <w:widowControl w:val="0"/>
              <w:spacing w:before="0"/>
              <w:rPr>
                <w:b/>
                <w:bCs/>
                <w:color w:val="FFFFFF"/>
              </w:rPr>
            </w:pPr>
            <w:r>
              <w:rPr>
                <w:b/>
                <w:bCs/>
                <w:color w:val="FFFFFF" w:themeColor="background1"/>
              </w:rPr>
              <w:t>Significato/Descrizione</w:t>
            </w:r>
          </w:p>
        </w:tc>
      </w:tr>
      <w:tr w:rsidR="00C77C37" w14:paraId="422BC1EA"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2120535F" w14:textId="77777777" w:rsidR="00C77C37" w:rsidRDefault="00204E95">
            <w:pPr>
              <w:widowControl w:val="0"/>
              <w:spacing w:before="0"/>
            </w:pPr>
            <w:r>
              <w:t xml:space="preserve">AgID </w:t>
            </w:r>
          </w:p>
        </w:tc>
        <w:tc>
          <w:tcPr>
            <w:tcW w:w="8083" w:type="dxa"/>
            <w:tcBorders>
              <w:top w:val="single" w:sz="4" w:space="0" w:color="000000"/>
              <w:left w:val="single" w:sz="4" w:space="0" w:color="000000"/>
              <w:bottom w:val="single" w:sz="4" w:space="0" w:color="000000"/>
              <w:right w:val="single" w:sz="4" w:space="0" w:color="000000"/>
            </w:tcBorders>
          </w:tcPr>
          <w:p w14:paraId="702B24B2" w14:textId="77777777" w:rsidR="00C77C37" w:rsidRDefault="00204E95">
            <w:pPr>
              <w:widowControl w:val="0"/>
              <w:spacing w:before="0"/>
            </w:pPr>
            <w:r>
              <w:t xml:space="preserve">Agenzia per l’Italia Digitale </w:t>
            </w:r>
          </w:p>
        </w:tc>
      </w:tr>
      <w:tr w:rsidR="00C77C37" w14:paraId="4B223CAA"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23BB1496" w14:textId="77777777" w:rsidR="00C77C37" w:rsidRDefault="00204E95">
            <w:pPr>
              <w:widowControl w:val="0"/>
              <w:spacing w:before="0"/>
            </w:pPr>
            <w:r>
              <w:t xml:space="preserve">ANPR </w:t>
            </w:r>
          </w:p>
        </w:tc>
        <w:tc>
          <w:tcPr>
            <w:tcW w:w="8083" w:type="dxa"/>
            <w:tcBorders>
              <w:top w:val="single" w:sz="4" w:space="0" w:color="000000"/>
              <w:left w:val="single" w:sz="4" w:space="0" w:color="000000"/>
              <w:bottom w:val="single" w:sz="4" w:space="0" w:color="000000"/>
              <w:right w:val="single" w:sz="4" w:space="0" w:color="000000"/>
            </w:tcBorders>
          </w:tcPr>
          <w:p w14:paraId="5B118B84" w14:textId="77777777" w:rsidR="00C77C37" w:rsidRDefault="00204E95">
            <w:pPr>
              <w:widowControl w:val="0"/>
              <w:spacing w:before="0"/>
            </w:pPr>
            <w:r>
              <w:t xml:space="preserve">Anagrafe Nazionale Popolazione Residente </w:t>
            </w:r>
          </w:p>
        </w:tc>
      </w:tr>
      <w:tr w:rsidR="00C77C37" w14:paraId="4DAC0312"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7B7E2D4E" w14:textId="77777777" w:rsidR="00C77C37" w:rsidRDefault="00204E95">
            <w:pPr>
              <w:widowControl w:val="0"/>
              <w:spacing w:before="0"/>
            </w:pPr>
            <w:r>
              <w:t xml:space="preserve">API </w:t>
            </w:r>
          </w:p>
        </w:tc>
        <w:tc>
          <w:tcPr>
            <w:tcW w:w="8083" w:type="dxa"/>
            <w:tcBorders>
              <w:top w:val="single" w:sz="4" w:space="0" w:color="000000"/>
              <w:left w:val="single" w:sz="4" w:space="0" w:color="000000"/>
              <w:bottom w:val="single" w:sz="4" w:space="0" w:color="000000"/>
              <w:right w:val="single" w:sz="4" w:space="0" w:color="000000"/>
            </w:tcBorders>
          </w:tcPr>
          <w:p w14:paraId="329D0A97" w14:textId="77777777" w:rsidR="00C77C37" w:rsidRDefault="00204E95">
            <w:pPr>
              <w:widowControl w:val="0"/>
              <w:spacing w:before="0"/>
            </w:pPr>
            <w:r>
              <w:t xml:space="preserve">Application Programming Interface </w:t>
            </w:r>
          </w:p>
        </w:tc>
      </w:tr>
      <w:tr w:rsidR="00C77C37" w14:paraId="67B7B5BA"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5AFE9690" w14:textId="77777777" w:rsidR="00C77C37" w:rsidRDefault="00204E95">
            <w:pPr>
              <w:widowControl w:val="0"/>
              <w:spacing w:before="0"/>
            </w:pPr>
            <w:r>
              <w:t>APP</w:t>
            </w:r>
          </w:p>
        </w:tc>
        <w:tc>
          <w:tcPr>
            <w:tcW w:w="8083" w:type="dxa"/>
            <w:tcBorders>
              <w:top w:val="single" w:sz="4" w:space="0" w:color="000000"/>
              <w:left w:val="single" w:sz="4" w:space="0" w:color="000000"/>
              <w:bottom w:val="single" w:sz="4" w:space="0" w:color="000000"/>
              <w:right w:val="single" w:sz="4" w:space="0" w:color="000000"/>
            </w:tcBorders>
          </w:tcPr>
          <w:p w14:paraId="73E30806" w14:textId="77777777" w:rsidR="00C77C37" w:rsidRDefault="00204E95">
            <w:pPr>
              <w:widowControl w:val="0"/>
              <w:spacing w:before="0"/>
            </w:pPr>
            <w:r>
              <w:t>Applicazione Mobile</w:t>
            </w:r>
          </w:p>
        </w:tc>
      </w:tr>
      <w:tr w:rsidR="00C77C37" w14:paraId="48409496"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0DC3A1FA" w14:textId="77777777" w:rsidR="00C77C37" w:rsidRDefault="00204E95">
            <w:pPr>
              <w:widowControl w:val="0"/>
              <w:spacing w:before="0"/>
            </w:pPr>
            <w:r>
              <w:t xml:space="preserve">CAD </w:t>
            </w:r>
          </w:p>
        </w:tc>
        <w:tc>
          <w:tcPr>
            <w:tcW w:w="8083" w:type="dxa"/>
            <w:tcBorders>
              <w:top w:val="single" w:sz="4" w:space="0" w:color="000000"/>
              <w:left w:val="single" w:sz="4" w:space="0" w:color="000000"/>
              <w:bottom w:val="single" w:sz="4" w:space="0" w:color="000000"/>
              <w:right w:val="single" w:sz="4" w:space="0" w:color="000000"/>
            </w:tcBorders>
          </w:tcPr>
          <w:p w14:paraId="25299B89" w14:textId="77777777" w:rsidR="00C77C37" w:rsidRDefault="00204E95">
            <w:pPr>
              <w:widowControl w:val="0"/>
              <w:spacing w:before="0"/>
            </w:pPr>
            <w:r>
              <w:t xml:space="preserve">Codice dell’amministrazione digitale </w:t>
            </w:r>
          </w:p>
        </w:tc>
      </w:tr>
      <w:tr w:rsidR="00C77C37" w14:paraId="588162E3"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709112B5" w14:textId="77777777" w:rsidR="00C77C37" w:rsidRDefault="00204E95">
            <w:pPr>
              <w:widowControl w:val="0"/>
              <w:spacing w:before="0"/>
            </w:pPr>
            <w:r>
              <w:t xml:space="preserve">CERT </w:t>
            </w:r>
          </w:p>
        </w:tc>
        <w:tc>
          <w:tcPr>
            <w:tcW w:w="8083" w:type="dxa"/>
            <w:tcBorders>
              <w:top w:val="single" w:sz="4" w:space="0" w:color="000000"/>
              <w:left w:val="single" w:sz="4" w:space="0" w:color="000000"/>
              <w:bottom w:val="single" w:sz="4" w:space="0" w:color="000000"/>
              <w:right w:val="single" w:sz="4" w:space="0" w:color="000000"/>
            </w:tcBorders>
          </w:tcPr>
          <w:p w14:paraId="0887B041" w14:textId="77777777" w:rsidR="00C77C37" w:rsidRDefault="00204E95">
            <w:pPr>
              <w:widowControl w:val="0"/>
              <w:spacing w:before="0"/>
            </w:pPr>
            <w:r>
              <w:t xml:space="preserve">Computer Emergency Response Team </w:t>
            </w:r>
          </w:p>
        </w:tc>
      </w:tr>
      <w:tr w:rsidR="00C77C37" w14:paraId="657BE433"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76BB7DEC" w14:textId="77777777" w:rsidR="00C77C37" w:rsidRDefault="00204E95">
            <w:pPr>
              <w:widowControl w:val="0"/>
              <w:spacing w:before="0"/>
            </w:pPr>
            <w:r>
              <w:t>eIDAS</w:t>
            </w:r>
          </w:p>
        </w:tc>
        <w:tc>
          <w:tcPr>
            <w:tcW w:w="8083" w:type="dxa"/>
            <w:tcBorders>
              <w:top w:val="single" w:sz="4" w:space="0" w:color="000000"/>
              <w:left w:val="single" w:sz="4" w:space="0" w:color="000000"/>
              <w:bottom w:val="single" w:sz="4" w:space="0" w:color="000000"/>
              <w:right w:val="single" w:sz="4" w:space="0" w:color="000000"/>
            </w:tcBorders>
          </w:tcPr>
          <w:p w14:paraId="11DAB050" w14:textId="77777777" w:rsidR="00C77C37" w:rsidRPr="00A80348" w:rsidRDefault="00204E95">
            <w:pPr>
              <w:widowControl w:val="0"/>
              <w:spacing w:before="0"/>
              <w:rPr>
                <w:lang w:val="en-GB"/>
              </w:rPr>
            </w:pPr>
            <w:r w:rsidRPr="00A80348">
              <w:rPr>
                <w:lang w:val="en-GB"/>
              </w:rPr>
              <w:t>electronic IDentification, Authentication and trust Services</w:t>
            </w:r>
          </w:p>
          <w:p w14:paraId="0DAA9DFE" w14:textId="77777777" w:rsidR="00C77C37" w:rsidRDefault="00204E95">
            <w:pPr>
              <w:widowControl w:val="0"/>
              <w:spacing w:before="0"/>
            </w:pPr>
            <w:r>
              <w:t>Regolamento europeo per l'identificazione elettronica e servizi fiduciari per le transazioni elettroniche nel mercato interno</w:t>
            </w:r>
          </w:p>
        </w:tc>
      </w:tr>
      <w:tr w:rsidR="00C77C37" w14:paraId="541C4AD1"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5CEE6AF1" w14:textId="77777777" w:rsidR="00C77C37" w:rsidRDefault="00204E95">
            <w:pPr>
              <w:widowControl w:val="0"/>
              <w:spacing w:before="0"/>
            </w:pPr>
            <w:r>
              <w:t>GDPR</w:t>
            </w:r>
          </w:p>
        </w:tc>
        <w:tc>
          <w:tcPr>
            <w:tcW w:w="8083" w:type="dxa"/>
            <w:tcBorders>
              <w:top w:val="single" w:sz="4" w:space="0" w:color="000000"/>
              <w:left w:val="single" w:sz="4" w:space="0" w:color="000000"/>
              <w:bottom w:val="single" w:sz="4" w:space="0" w:color="000000"/>
              <w:right w:val="single" w:sz="4" w:space="0" w:color="000000"/>
            </w:tcBorders>
          </w:tcPr>
          <w:p w14:paraId="41898767" w14:textId="77777777" w:rsidR="00C77C37" w:rsidRDefault="00204E95">
            <w:pPr>
              <w:widowControl w:val="0"/>
              <w:spacing w:before="0"/>
            </w:pPr>
            <w:r>
              <w:t>General Data Protection Regulation - Regolamento generale sulla protezione dei dati</w:t>
            </w:r>
          </w:p>
        </w:tc>
      </w:tr>
      <w:tr w:rsidR="00C77C37" w14:paraId="0764F758"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5C6F09F1" w14:textId="77777777" w:rsidR="00C77C37" w:rsidRDefault="00204E95">
            <w:pPr>
              <w:widowControl w:val="0"/>
              <w:spacing w:before="0"/>
            </w:pPr>
            <w:r>
              <w:t xml:space="preserve">ICT </w:t>
            </w:r>
          </w:p>
        </w:tc>
        <w:tc>
          <w:tcPr>
            <w:tcW w:w="8083" w:type="dxa"/>
            <w:tcBorders>
              <w:top w:val="single" w:sz="4" w:space="0" w:color="000000"/>
              <w:left w:val="single" w:sz="4" w:space="0" w:color="000000"/>
              <w:bottom w:val="single" w:sz="4" w:space="0" w:color="000000"/>
              <w:right w:val="single" w:sz="4" w:space="0" w:color="000000"/>
            </w:tcBorders>
          </w:tcPr>
          <w:p w14:paraId="2ADD5079" w14:textId="77777777" w:rsidR="00C77C37" w:rsidRDefault="00204E95">
            <w:pPr>
              <w:widowControl w:val="0"/>
              <w:spacing w:before="0"/>
            </w:pPr>
            <w:r>
              <w:t xml:space="preserve">Information and Communications Technology </w:t>
            </w:r>
          </w:p>
        </w:tc>
      </w:tr>
      <w:tr w:rsidR="00C77C37" w14:paraId="31204F3B"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4771A616" w14:textId="77777777" w:rsidR="00C77C37" w:rsidRDefault="00204E95">
            <w:pPr>
              <w:widowControl w:val="0"/>
              <w:spacing w:before="0"/>
            </w:pPr>
            <w:r>
              <w:t xml:space="preserve">IPA </w:t>
            </w:r>
          </w:p>
        </w:tc>
        <w:tc>
          <w:tcPr>
            <w:tcW w:w="8083" w:type="dxa"/>
            <w:tcBorders>
              <w:top w:val="single" w:sz="4" w:space="0" w:color="000000"/>
              <w:left w:val="single" w:sz="4" w:space="0" w:color="000000"/>
              <w:bottom w:val="single" w:sz="4" w:space="0" w:color="000000"/>
              <w:right w:val="single" w:sz="4" w:space="0" w:color="000000"/>
            </w:tcBorders>
          </w:tcPr>
          <w:p w14:paraId="6DFD7FE4" w14:textId="77777777" w:rsidR="00C77C37" w:rsidRDefault="00204E95">
            <w:pPr>
              <w:widowControl w:val="0"/>
              <w:spacing w:before="0"/>
            </w:pPr>
            <w:r>
              <w:t xml:space="preserve">Indice delle Pubbliche amministrazioni </w:t>
            </w:r>
          </w:p>
        </w:tc>
      </w:tr>
      <w:tr w:rsidR="00C77C37" w14:paraId="5C686EE4"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3F8C5896" w14:textId="77777777" w:rsidR="00C77C37" w:rsidRDefault="00204E95">
            <w:pPr>
              <w:widowControl w:val="0"/>
              <w:spacing w:before="0"/>
            </w:pPr>
            <w:r>
              <w:t>MEPA</w:t>
            </w:r>
          </w:p>
        </w:tc>
        <w:tc>
          <w:tcPr>
            <w:tcW w:w="8083" w:type="dxa"/>
            <w:tcBorders>
              <w:top w:val="single" w:sz="4" w:space="0" w:color="000000"/>
              <w:left w:val="single" w:sz="4" w:space="0" w:color="000000"/>
              <w:bottom w:val="single" w:sz="4" w:space="0" w:color="000000"/>
              <w:right w:val="single" w:sz="4" w:space="0" w:color="000000"/>
            </w:tcBorders>
          </w:tcPr>
          <w:p w14:paraId="062F3748" w14:textId="77777777" w:rsidR="00C77C37" w:rsidRDefault="00204E95">
            <w:pPr>
              <w:widowControl w:val="0"/>
              <w:spacing w:before="0"/>
            </w:pPr>
            <w:r>
              <w:t>Mercato Elettronico della Pubblica Amministrazione</w:t>
            </w:r>
          </w:p>
        </w:tc>
      </w:tr>
      <w:tr w:rsidR="00C77C37" w14:paraId="1B3B6C68"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2D730156" w14:textId="77777777" w:rsidR="00C77C37" w:rsidRDefault="00204E95">
            <w:pPr>
              <w:widowControl w:val="0"/>
              <w:spacing w:before="0"/>
            </w:pPr>
            <w:r>
              <w:t xml:space="preserve">PA </w:t>
            </w:r>
          </w:p>
        </w:tc>
        <w:tc>
          <w:tcPr>
            <w:tcW w:w="8083" w:type="dxa"/>
            <w:tcBorders>
              <w:top w:val="single" w:sz="4" w:space="0" w:color="000000"/>
              <w:left w:val="single" w:sz="4" w:space="0" w:color="000000"/>
              <w:bottom w:val="single" w:sz="4" w:space="0" w:color="000000"/>
              <w:right w:val="single" w:sz="4" w:space="0" w:color="000000"/>
            </w:tcBorders>
          </w:tcPr>
          <w:p w14:paraId="30071849" w14:textId="77777777" w:rsidR="00C77C37" w:rsidRDefault="00204E95">
            <w:pPr>
              <w:widowControl w:val="0"/>
              <w:spacing w:before="0"/>
            </w:pPr>
            <w:r>
              <w:t xml:space="preserve">Pubbliche Amministrazioni </w:t>
            </w:r>
          </w:p>
        </w:tc>
      </w:tr>
      <w:tr w:rsidR="00C77C37" w14:paraId="57AADBFC"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51BA9AFC" w14:textId="77777777" w:rsidR="00C77C37" w:rsidRDefault="00204E95">
            <w:pPr>
              <w:widowControl w:val="0"/>
              <w:spacing w:before="0"/>
            </w:pPr>
            <w:r>
              <w:t>RNDT</w:t>
            </w:r>
          </w:p>
        </w:tc>
        <w:tc>
          <w:tcPr>
            <w:tcW w:w="8083" w:type="dxa"/>
            <w:tcBorders>
              <w:top w:val="single" w:sz="4" w:space="0" w:color="000000"/>
              <w:left w:val="single" w:sz="4" w:space="0" w:color="000000"/>
              <w:bottom w:val="single" w:sz="4" w:space="0" w:color="000000"/>
              <w:right w:val="single" w:sz="4" w:space="0" w:color="000000"/>
            </w:tcBorders>
          </w:tcPr>
          <w:p w14:paraId="7ED8A124" w14:textId="77777777" w:rsidR="00C77C37" w:rsidRDefault="00204E95">
            <w:pPr>
              <w:widowControl w:val="0"/>
              <w:spacing w:before="0"/>
            </w:pPr>
            <w:r>
              <w:t>Repertorio nazionale dei dati territoriali</w:t>
            </w:r>
          </w:p>
        </w:tc>
      </w:tr>
      <w:tr w:rsidR="00C77C37" w14:paraId="47DFFFDD"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50C640C4" w14:textId="77777777" w:rsidR="00C77C37" w:rsidRDefault="00204E95">
            <w:pPr>
              <w:widowControl w:val="0"/>
              <w:spacing w:before="0"/>
            </w:pPr>
            <w:r>
              <w:t xml:space="preserve">RTD </w:t>
            </w:r>
          </w:p>
        </w:tc>
        <w:tc>
          <w:tcPr>
            <w:tcW w:w="8083" w:type="dxa"/>
            <w:tcBorders>
              <w:top w:val="single" w:sz="4" w:space="0" w:color="000000"/>
              <w:left w:val="single" w:sz="4" w:space="0" w:color="000000"/>
              <w:bottom w:val="single" w:sz="4" w:space="0" w:color="000000"/>
              <w:right w:val="single" w:sz="4" w:space="0" w:color="000000"/>
            </w:tcBorders>
          </w:tcPr>
          <w:p w14:paraId="60AF8075" w14:textId="77777777" w:rsidR="00C77C37" w:rsidRDefault="00204E95">
            <w:pPr>
              <w:widowControl w:val="0"/>
              <w:spacing w:before="0"/>
            </w:pPr>
            <w:r>
              <w:t xml:space="preserve">Responsabile della Transazione al digitale </w:t>
            </w:r>
          </w:p>
        </w:tc>
      </w:tr>
      <w:tr w:rsidR="00C77C37" w14:paraId="685CD748"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7767A8AF" w14:textId="77777777" w:rsidR="00C77C37" w:rsidRDefault="00204E95">
            <w:pPr>
              <w:widowControl w:val="0"/>
              <w:spacing w:before="0"/>
            </w:pPr>
            <w:r>
              <w:t xml:space="preserve">SPC </w:t>
            </w:r>
          </w:p>
        </w:tc>
        <w:tc>
          <w:tcPr>
            <w:tcW w:w="8083" w:type="dxa"/>
            <w:tcBorders>
              <w:top w:val="single" w:sz="4" w:space="0" w:color="000000"/>
              <w:left w:val="single" w:sz="4" w:space="0" w:color="000000"/>
              <w:bottom w:val="single" w:sz="4" w:space="0" w:color="000000"/>
              <w:right w:val="single" w:sz="4" w:space="0" w:color="000000"/>
            </w:tcBorders>
          </w:tcPr>
          <w:p w14:paraId="5EBF34E3" w14:textId="77777777" w:rsidR="00C77C37" w:rsidRDefault="00204E95">
            <w:pPr>
              <w:widowControl w:val="0"/>
              <w:spacing w:before="0"/>
            </w:pPr>
            <w:r>
              <w:t xml:space="preserve">Sistema Pubblico di Connettività </w:t>
            </w:r>
          </w:p>
        </w:tc>
      </w:tr>
      <w:tr w:rsidR="00C77C37" w14:paraId="418BAFE6" w14:textId="77777777">
        <w:trPr>
          <w:cantSplit/>
          <w:trHeight w:hRule="exact" w:val="567"/>
        </w:trPr>
        <w:tc>
          <w:tcPr>
            <w:tcW w:w="1697" w:type="dxa"/>
            <w:tcBorders>
              <w:top w:val="single" w:sz="4" w:space="0" w:color="000000"/>
              <w:left w:val="single" w:sz="4" w:space="0" w:color="000000"/>
              <w:bottom w:val="single" w:sz="4" w:space="0" w:color="000000"/>
              <w:right w:val="single" w:sz="4" w:space="0" w:color="000000"/>
            </w:tcBorders>
          </w:tcPr>
          <w:p w14:paraId="4CBBD7CC" w14:textId="77777777" w:rsidR="00C77C37" w:rsidRDefault="00204E95">
            <w:pPr>
              <w:widowControl w:val="0"/>
              <w:spacing w:before="0"/>
            </w:pPr>
            <w:r>
              <w:t xml:space="preserve">SPID </w:t>
            </w:r>
          </w:p>
        </w:tc>
        <w:tc>
          <w:tcPr>
            <w:tcW w:w="8083" w:type="dxa"/>
            <w:tcBorders>
              <w:top w:val="single" w:sz="4" w:space="0" w:color="000000"/>
              <w:left w:val="single" w:sz="4" w:space="0" w:color="000000"/>
              <w:bottom w:val="single" w:sz="4" w:space="0" w:color="000000"/>
              <w:right w:val="single" w:sz="4" w:space="0" w:color="000000"/>
            </w:tcBorders>
          </w:tcPr>
          <w:p w14:paraId="5D528380" w14:textId="77777777" w:rsidR="00C77C37" w:rsidRDefault="00204E95">
            <w:pPr>
              <w:widowControl w:val="0"/>
              <w:spacing w:before="0"/>
            </w:pPr>
            <w:r>
              <w:t xml:space="preserve">Sistema Pubblico di Identità Digitale </w:t>
            </w:r>
          </w:p>
        </w:tc>
      </w:tr>
    </w:tbl>
    <w:p w14:paraId="26E7E1B3" w14:textId="77777777" w:rsidR="00C77C37" w:rsidRDefault="00C77C37">
      <w:pPr>
        <w:spacing w:before="0"/>
      </w:pPr>
    </w:p>
    <w:p w14:paraId="28CA4D05" w14:textId="77777777" w:rsidR="00C77C37" w:rsidRDefault="00204E95">
      <w:pPr>
        <w:spacing w:before="0"/>
        <w:ind w:left="0" w:right="0"/>
        <w:jc w:val="left"/>
      </w:pPr>
      <w:r>
        <w:br w:type="page"/>
      </w:r>
    </w:p>
    <w:p w14:paraId="73F98D1C" w14:textId="77777777" w:rsidR="00C77C37" w:rsidRDefault="00204E95">
      <w:pPr>
        <w:pStyle w:val="Titolo2"/>
      </w:pPr>
      <w:bookmarkStart w:id="9" w:name="_Toc127285860"/>
      <w:bookmarkStart w:id="10" w:name="_Toc127366212"/>
      <w:bookmarkStart w:id="11" w:name="_Toc157008325"/>
      <w:r>
        <w:lastRenderedPageBreak/>
        <w:t>Contesto Strategico e Principi guida</w:t>
      </w:r>
      <w:bookmarkEnd w:id="9"/>
      <w:bookmarkEnd w:id="10"/>
      <w:bookmarkEnd w:id="11"/>
    </w:p>
    <w:p w14:paraId="47A75246" w14:textId="77777777" w:rsidR="00C77C37" w:rsidRDefault="00204E95">
      <w:pPr>
        <w:pStyle w:val="Titolo3"/>
      </w:pPr>
      <w:bookmarkStart w:id="12" w:name="_Toc127285861"/>
      <w:bookmarkStart w:id="13" w:name="_Toc127366213"/>
      <w:bookmarkStart w:id="14" w:name="_Toc157008326"/>
      <w:r>
        <w:t>Strategia</w:t>
      </w:r>
      <w:bookmarkEnd w:id="12"/>
      <w:bookmarkEnd w:id="13"/>
      <w:bookmarkEnd w:id="14"/>
    </w:p>
    <w:p w14:paraId="20302301" w14:textId="1D325744" w:rsidR="00C77C37" w:rsidRDefault="00204E95" w:rsidP="00E67AFA">
      <w:pPr>
        <w:spacing w:before="0"/>
      </w:pPr>
      <w:r>
        <w:t xml:space="preserve">Il Comune di </w:t>
      </w:r>
      <w:r w:rsidR="00C92676" w:rsidRPr="00C92676">
        <w:rPr>
          <w:highlight w:val="yellow"/>
        </w:rPr>
        <w:t>XXXXXXXXXX</w:t>
      </w:r>
      <w:r>
        <w:t xml:space="preserve"> </w:t>
      </w:r>
    </w:p>
    <w:p w14:paraId="19690AEE" w14:textId="2DCF9E27" w:rsidR="00E67AFA" w:rsidRDefault="00E67AFA" w:rsidP="00E67AFA">
      <w:pPr>
        <w:spacing w:before="0"/>
      </w:pPr>
      <w:r w:rsidRPr="00E67AFA">
        <w:rPr>
          <w:highlight w:val="yellow"/>
        </w:rPr>
        <w:t>……………………</w:t>
      </w:r>
    </w:p>
    <w:p w14:paraId="71BBB15B" w14:textId="77777777" w:rsidR="00C77C37" w:rsidRDefault="00204E95">
      <w:pPr>
        <w:pStyle w:val="Titolo3"/>
      </w:pPr>
      <w:bookmarkStart w:id="15" w:name="_Toc93328300"/>
      <w:bookmarkStart w:id="16" w:name="_Toc127285862"/>
      <w:bookmarkStart w:id="17" w:name="_Toc127366214"/>
      <w:bookmarkStart w:id="18" w:name="_Toc157008327"/>
      <w:r>
        <w:t>Principi Guida</w:t>
      </w:r>
      <w:bookmarkEnd w:id="15"/>
      <w:bookmarkEnd w:id="16"/>
      <w:bookmarkEnd w:id="17"/>
      <w:bookmarkEnd w:id="18"/>
    </w:p>
    <w:p w14:paraId="488FE1A6" w14:textId="2F4A8B2B" w:rsidR="00C77C37" w:rsidRDefault="00204E95">
      <w:r>
        <w:t>Il presente piano accoglie i principi guida definiti da AgID e qui di seguito elencati, l’Amministrazione è ben consapevole che, spesso, tali principi risulteranno dei veri propri obiettivi per l’ente stesso:</w:t>
      </w:r>
    </w:p>
    <w:p w14:paraId="52D0853B" w14:textId="77777777" w:rsidR="00C77C37" w:rsidRDefault="00204E95">
      <w:pPr>
        <w:pStyle w:val="Paragrafoelenco"/>
        <w:numPr>
          <w:ilvl w:val="0"/>
          <w:numId w:val="4"/>
        </w:numPr>
      </w:pPr>
      <w:r>
        <w:rPr>
          <w:b/>
          <w:bCs/>
        </w:rPr>
        <w:t>Digital &amp; mobile first</w:t>
      </w:r>
      <w:r>
        <w:t xml:space="preserve"> (digitale e mobile come prima opzione): le pubbliche amministrazioni devono realizzare servizi primariamente digitali;</w:t>
      </w:r>
    </w:p>
    <w:p w14:paraId="2493FFCD" w14:textId="77777777" w:rsidR="00C77C37" w:rsidRDefault="00204E95">
      <w:pPr>
        <w:pStyle w:val="Paragrafoelenco"/>
        <w:numPr>
          <w:ilvl w:val="0"/>
          <w:numId w:val="4"/>
        </w:numPr>
      </w:pPr>
      <w:r>
        <w:rPr>
          <w:b/>
          <w:bCs/>
        </w:rPr>
        <w:t>digital identity only</w:t>
      </w:r>
      <w:r>
        <w:t xml:space="preserve"> (accesso esclusivo mediante identità digitale): le PA devono adottare in via esclusiva sistemi di identità digitale definiti dalla normativa assicurando almeno l’accesso tramite SPID;</w:t>
      </w:r>
    </w:p>
    <w:p w14:paraId="5CC92D5E" w14:textId="77777777" w:rsidR="00C77C37" w:rsidRDefault="00204E95">
      <w:pPr>
        <w:pStyle w:val="Paragrafoelenco"/>
        <w:numPr>
          <w:ilvl w:val="0"/>
          <w:numId w:val="4"/>
        </w:numPr>
      </w:pPr>
      <w:r>
        <w:rPr>
          <w:b/>
          <w:bCs/>
        </w:rPr>
        <w:t>cloud first</w:t>
      </w:r>
      <w:r>
        <w:t xml:space="preserve"> (</w:t>
      </w:r>
      <w:r>
        <w:rPr>
          <w:i/>
          <w:iCs/>
        </w:rPr>
        <w:t>cloud</w:t>
      </w:r>
      <w:r>
        <w:t xml:space="preserve"> come prima opzione): le pubbliche amministrazioni, in fase di definizione di un nuovo progetto e di sviluppo di nuovi servizi, adottano primariamente il paradigma </w:t>
      </w:r>
      <w:r>
        <w:rPr>
          <w:i/>
          <w:iCs/>
        </w:rPr>
        <w:t>cloud</w:t>
      </w:r>
      <w:r>
        <w:t xml:space="preserve">, tenendo conto della necessità di prevenire il rischio di </w:t>
      </w:r>
      <w:r>
        <w:rPr>
          <w:i/>
          <w:iCs/>
        </w:rPr>
        <w:t>lock-in</w:t>
      </w:r>
      <w:r>
        <w:t>;</w:t>
      </w:r>
    </w:p>
    <w:p w14:paraId="2CDE5D72" w14:textId="77777777" w:rsidR="00C77C37" w:rsidRDefault="00204E95">
      <w:pPr>
        <w:pStyle w:val="Paragrafoelenco"/>
        <w:numPr>
          <w:ilvl w:val="0"/>
          <w:numId w:val="4"/>
        </w:numPr>
      </w:pPr>
      <w:r>
        <w:rPr>
          <w:b/>
          <w:bCs/>
        </w:rPr>
        <w:t>servizi inclusivi e accessibili</w:t>
      </w:r>
      <w:r>
        <w:t>: le pubbliche amministrazioni devono progettare servizi pubblici digitali che siano inclusivi e che vengano incontro alle diverse esigenze delle persone e dei singoli territori;</w:t>
      </w:r>
    </w:p>
    <w:p w14:paraId="69B3A046" w14:textId="77777777" w:rsidR="00C77C37" w:rsidRDefault="00204E95">
      <w:pPr>
        <w:pStyle w:val="Paragrafoelenco"/>
        <w:numPr>
          <w:ilvl w:val="0"/>
          <w:numId w:val="4"/>
        </w:numPr>
      </w:pPr>
      <w:r>
        <w:rPr>
          <w:b/>
          <w:bCs/>
        </w:rPr>
        <w:t>dati pubblici un bene comune</w:t>
      </w:r>
      <w:r>
        <w:t>: il patrimonio informativo della pubblica amministrazione è un bene fondamentale per lo sviluppo del Paese e deve essere valorizzato e reso disponibile ai cittadini e alle imprese, in forma aperta e interoperabile;</w:t>
      </w:r>
    </w:p>
    <w:p w14:paraId="2B1890AC" w14:textId="77777777" w:rsidR="00C77C37" w:rsidRDefault="00204E95">
      <w:pPr>
        <w:pStyle w:val="Paragrafoelenco"/>
        <w:numPr>
          <w:ilvl w:val="0"/>
          <w:numId w:val="4"/>
        </w:numPr>
      </w:pPr>
      <w:r>
        <w:rPr>
          <w:b/>
          <w:bCs/>
        </w:rPr>
        <w:t>interoperabile by design</w:t>
      </w:r>
      <w:r>
        <w:t>: i servizi pubblici devono essere progettati in modo da funzionare in modalità integrata e senza interruzioni in tutto il mercato unico esponendo le opportune API;</w:t>
      </w:r>
    </w:p>
    <w:p w14:paraId="6872D7E5" w14:textId="77777777" w:rsidR="00C77C37" w:rsidRDefault="00204E95">
      <w:pPr>
        <w:pStyle w:val="Paragrafoelenco"/>
        <w:numPr>
          <w:ilvl w:val="0"/>
          <w:numId w:val="4"/>
        </w:numPr>
      </w:pPr>
      <w:r>
        <w:rPr>
          <w:b/>
          <w:bCs/>
        </w:rPr>
        <w:t>sicurezza e privacy by design</w:t>
      </w:r>
      <w:r>
        <w:t>: i servizi digitali devono essere progettati ed erogati in modo sicuro e garantire la protezione dei dati personali;</w:t>
      </w:r>
    </w:p>
    <w:p w14:paraId="18D15BFD" w14:textId="77777777" w:rsidR="00C77C37" w:rsidRDefault="00204E95">
      <w:pPr>
        <w:pStyle w:val="Paragrafoelenco"/>
        <w:numPr>
          <w:ilvl w:val="0"/>
          <w:numId w:val="4"/>
        </w:numPr>
      </w:pPr>
      <w:r>
        <w:rPr>
          <w:b/>
          <w:bCs/>
        </w:rPr>
        <w:lastRenderedPageBreak/>
        <w:t>user-centric, data driven e agile:</w:t>
      </w:r>
      <w:r>
        <w:t xml:space="preserve"> le amministrazioni sviluppano i servizi digitali, prevedendo modalità agili di miglioramento continuo, partendo dall’esperienza dell’utente e basandosi sulla continua misurazione di prestazioni e utilizzo.</w:t>
      </w:r>
    </w:p>
    <w:p w14:paraId="32C2ACB0" w14:textId="77777777" w:rsidR="00C77C37" w:rsidRDefault="00204E95">
      <w:pPr>
        <w:pStyle w:val="Paragrafoelenco"/>
        <w:numPr>
          <w:ilvl w:val="0"/>
          <w:numId w:val="4"/>
        </w:numPr>
      </w:pPr>
      <w:r>
        <w:rPr>
          <w:b/>
          <w:bCs/>
        </w:rPr>
        <w:t>once only</w:t>
      </w:r>
      <w:r>
        <w:t>: le pubbliche amministrazioni devono evitare di chiedere ai cittadini e alle imprese informazioni già fornite;</w:t>
      </w:r>
    </w:p>
    <w:p w14:paraId="7167A31E" w14:textId="77777777" w:rsidR="00C77C37" w:rsidRDefault="00204E95">
      <w:pPr>
        <w:pStyle w:val="Paragrafoelenco"/>
        <w:numPr>
          <w:ilvl w:val="0"/>
          <w:numId w:val="4"/>
        </w:numPr>
      </w:pPr>
      <w:r>
        <w:rPr>
          <w:b/>
          <w:bCs/>
        </w:rPr>
        <w:t>transfrontaliero by design</w:t>
      </w:r>
      <w:r>
        <w:t xml:space="preserve"> (concepito come transfrontaliero): le pubbliche amministrazioni devono rendere disponibili a livello transfrontaliero i servizi pubblici digitali rilevanti;</w:t>
      </w:r>
    </w:p>
    <w:p w14:paraId="2FE9A52B" w14:textId="77777777" w:rsidR="00C77C37" w:rsidRDefault="00204E95">
      <w:pPr>
        <w:pStyle w:val="Paragrafoelenco"/>
        <w:numPr>
          <w:ilvl w:val="0"/>
          <w:numId w:val="4"/>
        </w:numPr>
      </w:pPr>
      <w:r>
        <w:rPr>
          <w:b/>
          <w:bCs/>
        </w:rPr>
        <w:t>open source</w:t>
      </w:r>
      <w:r>
        <w:t>: le pubbliche amministrazioni devono prediligere l’utilizzo di software con codice sorgente aperto e, nel caso di software sviluppato per loro conto, deve essere reso disponibile il codice sorgente.</w:t>
      </w:r>
    </w:p>
    <w:p w14:paraId="3172326C" w14:textId="77777777" w:rsidR="00C77C37" w:rsidRDefault="00204E95">
      <w:pPr>
        <w:spacing w:before="0" w:after="160" w:line="259" w:lineRule="auto"/>
        <w:ind w:left="0" w:right="0"/>
        <w:jc w:val="left"/>
      </w:pPr>
      <w:r>
        <w:br w:type="page"/>
      </w:r>
    </w:p>
    <w:p w14:paraId="05051DDF" w14:textId="77777777" w:rsidR="00C77C37" w:rsidRDefault="00204E95">
      <w:pPr>
        <w:pStyle w:val="Titolo2"/>
      </w:pPr>
      <w:bookmarkStart w:id="19" w:name="_Toc93328303"/>
      <w:bookmarkStart w:id="20" w:name="_Toc127285863"/>
      <w:bookmarkStart w:id="21" w:name="_Toc127366215"/>
      <w:bookmarkStart w:id="22" w:name="_Toc157008328"/>
      <w:r>
        <w:lastRenderedPageBreak/>
        <w:t>Attori coinvolti nel progetto</w:t>
      </w:r>
      <w:bookmarkEnd w:id="19"/>
      <w:bookmarkEnd w:id="20"/>
      <w:bookmarkEnd w:id="21"/>
      <w:bookmarkEnd w:id="22"/>
    </w:p>
    <w:p w14:paraId="3057B62D" w14:textId="77777777" w:rsidR="00C77C37" w:rsidRDefault="00204E95">
      <w:pPr>
        <w:pStyle w:val="Titolo3"/>
      </w:pPr>
      <w:bookmarkStart w:id="23" w:name="_Toc157008329"/>
      <w:r>
        <w:t>Team di progetto</w:t>
      </w:r>
      <w:bookmarkEnd w:id="23"/>
    </w:p>
    <w:p w14:paraId="567A6996" w14:textId="0523D242" w:rsidR="00C77C37" w:rsidRDefault="00204E95" w:rsidP="00E67AFA">
      <w:pPr>
        <w:spacing w:before="0" w:after="60"/>
        <w:ind w:right="142"/>
        <w:rPr>
          <w:u w:val="single"/>
        </w:rPr>
      </w:pPr>
      <w:r w:rsidRPr="00E67AFA">
        <w:rPr>
          <w:highlight w:val="yellow"/>
        </w:rPr>
        <w:t xml:space="preserve">Il </w:t>
      </w:r>
      <w:r w:rsidR="00E67AFA">
        <w:rPr>
          <w:highlight w:val="yellow"/>
        </w:rPr>
        <w:t>Team</w:t>
      </w:r>
      <w:r w:rsidR="00E67AFA" w:rsidRPr="00E67AFA">
        <w:rPr>
          <w:highlight w:val="yellow"/>
        </w:rPr>
        <w:t>…</w:t>
      </w:r>
    </w:p>
    <w:p w14:paraId="313190C9" w14:textId="77777777" w:rsidR="00C77C37" w:rsidRDefault="00204E95">
      <w:pPr>
        <w:pStyle w:val="Titolo3"/>
      </w:pPr>
      <w:bookmarkStart w:id="24" w:name="_Toc127285864"/>
      <w:bookmarkStart w:id="25" w:name="_Toc127366216"/>
      <w:bookmarkStart w:id="26" w:name="_Toc157008330"/>
      <w:r>
        <w:t>Ruolo del Responsabile per la Transizione al Digitale</w:t>
      </w:r>
      <w:bookmarkEnd w:id="24"/>
      <w:bookmarkEnd w:id="25"/>
      <w:bookmarkEnd w:id="26"/>
      <w:r>
        <w:t xml:space="preserve"> </w:t>
      </w:r>
    </w:p>
    <w:p w14:paraId="558C3B12" w14:textId="77777777" w:rsidR="00C77C37" w:rsidRDefault="00204E95">
      <w:pPr>
        <w:spacing w:before="0"/>
      </w:pPr>
      <w:r>
        <w:t>La figura del Responsabile per la transizione al digitale trae fondamento dall’articolo 17 del Codice dell’amministrazione digitale (Decreto Legislativo 7 marzo 2005, n. 82), che obbliga tutte le amministrazioni ad individuare un ufficio per la transizione alla modalità digitale, il cui responsabile è il RTD.</w:t>
      </w:r>
    </w:p>
    <w:p w14:paraId="7FC30963" w14:textId="77777777" w:rsidR="00C77C37" w:rsidRDefault="00204E95">
      <w:pPr>
        <w:spacing w:before="0"/>
      </w:pPr>
      <w:r>
        <w:t xml:space="preserve">Tra le funzioni più rilevanti del Responsabile per la transizione digitale annoveriamo quella di garantire la trasformazione digitale della pubblica amministrazione, coordinandola nello sviluppo dei servizi pubblici digitali e nell’adozione di modelli di relazione trasparenti e aperti con i cittadini. </w:t>
      </w:r>
    </w:p>
    <w:p w14:paraId="784C11B9" w14:textId="77777777" w:rsidR="00C77C37" w:rsidRDefault="00204E95">
      <w:pPr>
        <w:spacing w:before="0"/>
      </w:pPr>
      <w:r>
        <w:t xml:space="preserve">Ha funzione di reingegnerizzazione dei processi e gli compete l’analisi periodica della coerenza tra l’organizzazione dell’amministrazione e l’utilizzo delle tecnologie dell’informazione e della comunicazione per migliorare la soddisfazione degli utenti e la qualità dei servizi. </w:t>
      </w:r>
    </w:p>
    <w:p w14:paraId="1950E2AA" w14:textId="77777777" w:rsidR="00C77C37" w:rsidRDefault="00204E95">
      <w:pPr>
        <w:spacing w:before="0"/>
      </w:pPr>
      <w:r>
        <w:t>Ha un ruolo chiave nella pianificazione e nel coordinamento degli acquisti di soluzioni e sistemi informatici telematici e di telecomunicazioni per garantirne la compatibilità con gli obiettivi di attuazione dell’agenda al digitale.</w:t>
      </w:r>
    </w:p>
    <w:p w14:paraId="4F14625B" w14:textId="77777777" w:rsidR="00C77C37" w:rsidRDefault="00204E95">
      <w:pPr>
        <w:pStyle w:val="Titolo3"/>
      </w:pPr>
      <w:bookmarkStart w:id="27" w:name="_Toc157008331"/>
      <w:r>
        <w:t>Amministrazione</w:t>
      </w:r>
      <w:bookmarkEnd w:id="27"/>
    </w:p>
    <w:p w14:paraId="5C0E2BA7" w14:textId="77777777" w:rsidR="00C77C37" w:rsidRDefault="00204E95">
      <w:pPr>
        <w:spacing w:before="0"/>
      </w:pPr>
      <w:r>
        <w:t>Facendo riferimento al contesto normativo ed organizzativo sulle tematiche di digitalizzazione ed in particolare a:</w:t>
      </w:r>
    </w:p>
    <w:p w14:paraId="26AD8368" w14:textId="77777777" w:rsidR="00C77C37" w:rsidRDefault="00000000">
      <w:pPr>
        <w:pStyle w:val="NormaleWeb"/>
        <w:numPr>
          <w:ilvl w:val="0"/>
          <w:numId w:val="15"/>
        </w:numPr>
        <w:shd w:val="clear" w:color="auto" w:fill="FFFFFF"/>
        <w:spacing w:before="0"/>
        <w:rPr>
          <w:rFonts w:ascii="Calibri" w:hAnsi="Calibri"/>
          <w:sz w:val="22"/>
          <w:szCs w:val="22"/>
        </w:rPr>
      </w:pPr>
      <w:hyperlink r:id="rId16">
        <w:r w:rsidR="00204E95">
          <w:rPr>
            <w:rFonts w:asciiTheme="minorHAnsi" w:hAnsiTheme="minorHAnsi" w:cstheme="minorBidi"/>
            <w:b/>
            <w:bCs/>
            <w:sz w:val="22"/>
            <w:szCs w:val="22"/>
          </w:rPr>
          <w:t>Codice dell’Amministrazione Digitale</w:t>
        </w:r>
      </w:hyperlink>
      <w:r w:rsidR="00204E95">
        <w:rPr>
          <w:rFonts w:asciiTheme="minorHAnsi" w:hAnsiTheme="minorHAnsi" w:cstheme="minorBidi"/>
          <w:b/>
          <w:bCs/>
          <w:sz w:val="22"/>
          <w:szCs w:val="22"/>
        </w:rPr>
        <w:t xml:space="preserve"> (CAD)</w:t>
      </w:r>
      <w:r w:rsidR="00204E95">
        <w:rPr>
          <w:rFonts w:asciiTheme="minorHAnsi" w:hAnsiTheme="minorHAnsi" w:cstheme="minorBidi"/>
          <w:sz w:val="22"/>
          <w:szCs w:val="22"/>
        </w:rPr>
        <w:t xml:space="preserve"> è il testo unico cui fa riferimento l’intera materia, che riunisce e organizza le norme riguardanti l’informatizzazione della Pubblica Amministrazione nei rapporti con i cittadini e le imprese. Istituito con il </w:t>
      </w:r>
      <w:hyperlink r:id="rId17">
        <w:r w:rsidR="00204E95">
          <w:rPr>
            <w:rFonts w:asciiTheme="minorHAnsi" w:hAnsiTheme="minorHAnsi" w:cstheme="minorBidi"/>
            <w:sz w:val="22"/>
            <w:szCs w:val="22"/>
          </w:rPr>
          <w:t>decreto legislativo 7 marzo 2005, n. 82</w:t>
        </w:r>
      </w:hyperlink>
      <w:r w:rsidR="00204E95">
        <w:rPr>
          <w:rFonts w:asciiTheme="minorHAnsi" w:hAnsiTheme="minorHAnsi" w:cstheme="minorBidi"/>
          <w:sz w:val="22"/>
          <w:szCs w:val="22"/>
        </w:rPr>
        <w:t xml:space="preserve">, è stato successivamente modificato e integrato numerose volte, ad ultimo dal </w:t>
      </w:r>
      <w:hyperlink r:id="rId18">
        <w:r w:rsidR="00204E95">
          <w:rPr>
            <w:rFonts w:asciiTheme="minorHAnsi" w:hAnsiTheme="minorHAnsi" w:cstheme="minorBidi"/>
            <w:sz w:val="22"/>
            <w:szCs w:val="22"/>
          </w:rPr>
          <w:t>decreto legislativo 13 dicembre 2017, n. 217</w:t>
        </w:r>
      </w:hyperlink>
      <w:r w:rsidR="00204E95">
        <w:rPr>
          <w:rFonts w:asciiTheme="minorHAnsi" w:hAnsiTheme="minorHAnsi" w:cstheme="minorBidi"/>
          <w:sz w:val="22"/>
          <w:szCs w:val="22"/>
        </w:rPr>
        <w:t xml:space="preserve"> per promuovere e rendere effettivi i diritti di cittadinanza digitale.</w:t>
      </w:r>
    </w:p>
    <w:p w14:paraId="6996E92C" w14:textId="77777777" w:rsidR="00C77C37" w:rsidRDefault="00204E95">
      <w:pPr>
        <w:pStyle w:val="NormaleWeb"/>
        <w:numPr>
          <w:ilvl w:val="0"/>
          <w:numId w:val="15"/>
        </w:numPr>
        <w:shd w:val="clear" w:color="auto" w:fill="FFFFFF"/>
        <w:spacing w:before="0"/>
        <w:rPr>
          <w:rFonts w:ascii="Calibri" w:hAnsi="Calibri"/>
          <w:sz w:val="22"/>
          <w:szCs w:val="22"/>
        </w:rPr>
      </w:pPr>
      <w:r>
        <w:rPr>
          <w:rFonts w:asciiTheme="minorHAnsi" w:hAnsiTheme="minorHAnsi" w:cstheme="minorBidi"/>
          <w:b/>
          <w:bCs/>
          <w:sz w:val="22"/>
          <w:szCs w:val="22"/>
        </w:rPr>
        <w:lastRenderedPageBreak/>
        <w:t>Legge di bilancio 2020</w:t>
      </w:r>
      <w:r>
        <w:rPr>
          <w:rFonts w:asciiTheme="minorHAnsi" w:hAnsiTheme="minorHAnsi" w:cstheme="minorBidi"/>
          <w:sz w:val="22"/>
          <w:szCs w:val="22"/>
        </w:rPr>
        <w:t xml:space="preserve"> e il</w:t>
      </w:r>
      <w:r>
        <w:rPr>
          <w:rFonts w:asciiTheme="minorHAnsi" w:hAnsiTheme="minorHAnsi" w:cstheme="minorBidi"/>
          <w:b/>
          <w:bCs/>
          <w:sz w:val="22"/>
          <w:szCs w:val="22"/>
        </w:rPr>
        <w:t xml:space="preserve"> </w:t>
      </w:r>
      <w:hyperlink r:id="rId19">
        <w:r>
          <w:rPr>
            <w:rFonts w:asciiTheme="minorHAnsi" w:hAnsiTheme="minorHAnsi" w:cstheme="minorBidi"/>
            <w:sz w:val="22"/>
            <w:szCs w:val="22"/>
          </w:rPr>
          <w:t>decreto-legge n. 162 del 2019</w:t>
        </w:r>
      </w:hyperlink>
      <w:r>
        <w:rPr>
          <w:rFonts w:asciiTheme="minorHAnsi" w:hAnsiTheme="minorHAnsi" w:cstheme="minorBidi"/>
          <w:sz w:val="22"/>
          <w:szCs w:val="22"/>
        </w:rPr>
        <w:t xml:space="preserve">, recante proroga di termini e altre disposizioni, sono state previste diverse misure volte a promuovere e valorizzare l'informatizzazione della pubblica amministrazione. </w:t>
      </w:r>
    </w:p>
    <w:p w14:paraId="5D7C2642" w14:textId="77777777" w:rsidR="00C77C37" w:rsidRDefault="00204E95">
      <w:pPr>
        <w:pStyle w:val="NormaleWeb"/>
        <w:numPr>
          <w:ilvl w:val="0"/>
          <w:numId w:val="15"/>
        </w:numPr>
        <w:shd w:val="clear" w:color="auto" w:fill="FFFFFF"/>
        <w:spacing w:before="0"/>
        <w:rPr>
          <w:rFonts w:ascii="Calibri" w:hAnsi="Calibri"/>
          <w:sz w:val="22"/>
          <w:szCs w:val="22"/>
        </w:rPr>
      </w:pPr>
      <w:r>
        <w:rPr>
          <w:rFonts w:asciiTheme="minorHAnsi" w:hAnsiTheme="minorHAnsi" w:cstheme="minorBidi"/>
          <w:b/>
          <w:bCs/>
          <w:sz w:val="22"/>
          <w:szCs w:val="22"/>
        </w:rPr>
        <w:t>Decreto Cura Italia (</w:t>
      </w:r>
      <w:hyperlink r:id="rId20">
        <w:r>
          <w:rPr>
            <w:rFonts w:asciiTheme="minorHAnsi" w:hAnsiTheme="minorHAnsi" w:cstheme="minorBidi"/>
            <w:sz w:val="22"/>
            <w:szCs w:val="22"/>
          </w:rPr>
          <w:t>DL n. 18/2020</w:t>
        </w:r>
      </w:hyperlink>
      <w:r>
        <w:rPr>
          <w:rFonts w:asciiTheme="minorHAnsi" w:hAnsiTheme="minorHAnsi" w:cstheme="minorBidi"/>
          <w:b/>
          <w:bCs/>
          <w:sz w:val="22"/>
          <w:szCs w:val="22"/>
        </w:rPr>
        <w:t>),</w:t>
      </w:r>
      <w:r>
        <w:rPr>
          <w:rFonts w:asciiTheme="minorHAnsi" w:hAnsiTheme="minorHAnsi" w:cstheme="minorBidi"/>
          <w:sz w:val="22"/>
          <w:szCs w:val="22"/>
        </w:rPr>
        <w:t xml:space="preserve"> convertito con modificazioni dalla Legge n. 27/2020, che all’art.76 prevede l’introduzione di soluzioni di innovazione tecnologica attraverso un gruppo di esperti per lo sviluppo di trasformazione a</w:t>
      </w:r>
      <w:r>
        <w:rPr>
          <w:rFonts w:asciiTheme="minorHAnsi" w:hAnsiTheme="minorHAnsi" w:cstheme="minorBidi"/>
          <w:i/>
          <w:iCs/>
          <w:sz w:val="22"/>
          <w:szCs w:val="22"/>
        </w:rPr>
        <w:t>l fine di dare concreta attuazione alla introduzione di soluzioni di innovazione tecnologica e di digitalizzazione della pubblica amministrazione</w:t>
      </w:r>
      <w:r>
        <w:rPr>
          <w:rFonts w:asciiTheme="minorHAnsi" w:hAnsiTheme="minorHAnsi" w:cstheme="minorBidi"/>
          <w:sz w:val="22"/>
          <w:szCs w:val="22"/>
        </w:rPr>
        <w:t>.</w:t>
      </w:r>
    </w:p>
    <w:p w14:paraId="7ED493AE" w14:textId="77777777" w:rsidR="00C77C37" w:rsidRDefault="00204E95">
      <w:pPr>
        <w:pStyle w:val="NormaleWeb"/>
        <w:numPr>
          <w:ilvl w:val="0"/>
          <w:numId w:val="15"/>
        </w:numPr>
        <w:shd w:val="clear" w:color="auto" w:fill="FFFFFF"/>
        <w:spacing w:before="0"/>
        <w:rPr>
          <w:rFonts w:ascii="Calibri" w:hAnsi="Calibri"/>
          <w:sz w:val="22"/>
          <w:szCs w:val="22"/>
        </w:rPr>
      </w:pPr>
      <w:r>
        <w:rPr>
          <w:rFonts w:asciiTheme="minorHAnsi" w:hAnsiTheme="minorHAnsi" w:cstheme="minorBidi"/>
          <w:b/>
          <w:bCs/>
          <w:sz w:val="22"/>
          <w:szCs w:val="22"/>
        </w:rPr>
        <w:t>decreto-legge 1° marzo 2021, n. 22</w:t>
      </w:r>
      <w:r>
        <w:rPr>
          <w:rFonts w:asciiTheme="minorHAnsi" w:hAnsiTheme="minorHAnsi" w:cstheme="minorBidi"/>
          <w:sz w:val="22"/>
          <w:szCs w:val="22"/>
        </w:rPr>
        <w:t xml:space="preserve"> che, oltre a riordinare le attribuzioni di alcuni ministeri, interviene anche sulle funzioni del Governo in materia di innovazione tecnologica e transizione digitale prevedendo che il Presidente del Consiglio promuova, indirizzi e coordini l'azione del Governo in diverse materie, tra cui la strategia italiana per la banda ultra-larga; la digitalizzazione delle pubbliche amministrazioni e delle imprese; le infrastrutture digitali materiali e immateriali.</w:t>
      </w:r>
    </w:p>
    <w:p w14:paraId="3C327505" w14:textId="6C2906EA" w:rsidR="00C77C37" w:rsidRDefault="00204E95">
      <w:pPr>
        <w:spacing w:before="0"/>
      </w:pPr>
      <w:r w:rsidRPr="00E67AFA">
        <w:rPr>
          <w:highlight w:val="yellow"/>
        </w:rPr>
        <w:t xml:space="preserve">l’ente </w:t>
      </w:r>
      <w:r w:rsidR="00E67AFA" w:rsidRPr="00E67AFA">
        <w:rPr>
          <w:highlight w:val="yellow"/>
        </w:rPr>
        <w:t>…………………</w:t>
      </w:r>
    </w:p>
    <w:p w14:paraId="76C00F90" w14:textId="77777777" w:rsidR="00C77C37" w:rsidRDefault="00204E95">
      <w:pPr>
        <w:spacing w:before="0"/>
      </w:pPr>
      <w:r>
        <w:t>L’amministrazione attraverso i suoi i livelli dirigenziali e di concerto con il governo Politico ha definito gli obiettivi da raggiungere sia acquisendo gli obiettivi generali definiti nei Piani emanati da AgID:</w:t>
      </w:r>
    </w:p>
    <w:p w14:paraId="412203D8" w14:textId="77777777" w:rsidR="00C77C37" w:rsidRDefault="00204E95">
      <w:pPr>
        <w:pStyle w:val="Paragrafoelenco"/>
        <w:numPr>
          <w:ilvl w:val="1"/>
          <w:numId w:val="3"/>
        </w:numPr>
      </w:pPr>
      <w:r>
        <w:t>Piano 2020-2022</w:t>
      </w:r>
    </w:p>
    <w:p w14:paraId="50FA4B1C" w14:textId="77777777" w:rsidR="00C77C37" w:rsidRDefault="00204E95">
      <w:pPr>
        <w:pStyle w:val="Paragrafoelenco"/>
        <w:numPr>
          <w:ilvl w:val="1"/>
          <w:numId w:val="3"/>
        </w:numPr>
      </w:pPr>
      <w:r>
        <w:t>Piano 2021-2023</w:t>
      </w:r>
    </w:p>
    <w:p w14:paraId="2D20629D" w14:textId="77777777" w:rsidR="00C77C37" w:rsidRDefault="00204E95">
      <w:pPr>
        <w:pStyle w:val="Paragrafoelenco"/>
        <w:numPr>
          <w:ilvl w:val="1"/>
          <w:numId w:val="3"/>
        </w:numPr>
      </w:pPr>
      <w:r>
        <w:t xml:space="preserve">Piano 2022-2024, </w:t>
      </w:r>
    </w:p>
    <w:p w14:paraId="4E73FB06" w14:textId="77777777" w:rsidR="00C77C37" w:rsidRDefault="00204E95">
      <w:pPr>
        <w:spacing w:before="0"/>
      </w:pPr>
      <w:r>
        <w:t>sia definendo obiettivi legati al territorio ed allo stato attuale di digitalizzazione dell’amministrazione stessa.</w:t>
      </w:r>
    </w:p>
    <w:p w14:paraId="5271F4CA" w14:textId="77777777" w:rsidR="00C77C37" w:rsidRDefault="00204E95">
      <w:pPr>
        <w:spacing w:before="0" w:after="160" w:line="259" w:lineRule="auto"/>
        <w:ind w:left="0" w:right="0"/>
        <w:jc w:val="left"/>
        <w:rPr>
          <w:rFonts w:ascii="Calibri Light" w:eastAsia="Calibri" w:hAnsi="Calibri Light" w:cs="Calibri Light"/>
          <w:color w:val="4472C4"/>
          <w:sz w:val="28"/>
          <w:szCs w:val="28"/>
        </w:rPr>
      </w:pPr>
      <w:r>
        <w:br w:type="page"/>
      </w:r>
    </w:p>
    <w:p w14:paraId="78C8BA87" w14:textId="77777777" w:rsidR="00C77C37" w:rsidRDefault="00204E95">
      <w:pPr>
        <w:pStyle w:val="Titolo3"/>
      </w:pPr>
      <w:bookmarkStart w:id="28" w:name="_Toc127285866"/>
      <w:bookmarkStart w:id="29" w:name="_Toc127366218"/>
      <w:bookmarkStart w:id="30" w:name="_Toc157008332"/>
      <w:r>
        <w:lastRenderedPageBreak/>
        <w:t>Obiettivi e Spesa complessiva prevista</w:t>
      </w:r>
      <w:bookmarkEnd w:id="28"/>
      <w:bookmarkEnd w:id="29"/>
      <w:bookmarkEnd w:id="30"/>
    </w:p>
    <w:p w14:paraId="47A8C261" w14:textId="77777777" w:rsidR="00C77C37" w:rsidRPr="007457F1" w:rsidRDefault="00204E95">
      <w:pPr>
        <w:spacing w:before="0"/>
      </w:pPr>
      <w:r w:rsidRPr="007457F1">
        <w:t xml:space="preserve">L’amministrazione ha partecipato a diversi Bandi per il finanziamento dei progetti informatici pianificati, ed in </w:t>
      </w:r>
      <w:r w:rsidRPr="007457F1">
        <w:rPr>
          <w:sz w:val="24"/>
          <w:szCs w:val="24"/>
        </w:rPr>
        <w:t>particolare</w:t>
      </w:r>
      <w:r w:rsidRPr="007457F1">
        <w:t xml:space="preserve"> ha ottenuto finanziamenti </w:t>
      </w:r>
      <w:r w:rsidRPr="007457F1">
        <w:rPr>
          <w:b/>
          <w:bCs/>
          <w:color w:val="3B3838" w:themeColor="background2" w:themeShade="40"/>
        </w:rPr>
        <w:t xml:space="preserve">a fronte dei Programmi Europei </w:t>
      </w:r>
      <w:r w:rsidRPr="007457F1">
        <w:t>e del PNRR Nazionale.</w:t>
      </w:r>
    </w:p>
    <w:p w14:paraId="3035EE76" w14:textId="77777777" w:rsidR="00C77C37" w:rsidRPr="007457F1" w:rsidRDefault="00204E95">
      <w:pPr>
        <w:spacing w:before="0"/>
      </w:pPr>
      <w:r w:rsidRPr="007457F1">
        <w:t>Qui di seguito riportiamo i finanziamenti ottenuti e gli obiettivi definiti per l’ottenimento degli stessi.</w:t>
      </w:r>
    </w:p>
    <w:tbl>
      <w:tblPr>
        <w:tblStyle w:val="Grigliatabella"/>
        <w:tblW w:w="8602" w:type="dxa"/>
        <w:tblInd w:w="142" w:type="dxa"/>
        <w:tblLayout w:type="fixed"/>
        <w:tblLook w:val="04A0" w:firstRow="1" w:lastRow="0" w:firstColumn="1" w:lastColumn="0" w:noHBand="0" w:noVBand="1"/>
      </w:tblPr>
      <w:tblGrid>
        <w:gridCol w:w="2135"/>
        <w:gridCol w:w="1268"/>
        <w:gridCol w:w="1708"/>
        <w:gridCol w:w="1932"/>
        <w:gridCol w:w="1559"/>
      </w:tblGrid>
      <w:tr w:rsidR="007457F1" w:rsidRPr="007457F1" w14:paraId="7AE80E7E" w14:textId="77777777" w:rsidTr="007457F1">
        <w:trPr>
          <w:trHeight w:val="789"/>
        </w:trPr>
        <w:tc>
          <w:tcPr>
            <w:tcW w:w="2135" w:type="dxa"/>
            <w:tcBorders>
              <w:top w:val="thinThickSmallGap" w:sz="24" w:space="0" w:color="000000"/>
              <w:left w:val="thinThickSmallGap" w:sz="24" w:space="0" w:color="000000"/>
              <w:bottom w:val="thickThinSmallGap" w:sz="24" w:space="0" w:color="000000"/>
            </w:tcBorders>
            <w:shd w:val="clear" w:color="auto" w:fill="808080" w:themeFill="background1" w:themeFillShade="80"/>
            <w:vAlign w:val="center"/>
          </w:tcPr>
          <w:p w14:paraId="2009FBF0" w14:textId="77777777" w:rsidR="00C77C37" w:rsidRPr="007457F1" w:rsidRDefault="00204E95" w:rsidP="007457F1">
            <w:pPr>
              <w:widowControl w:val="0"/>
              <w:spacing w:before="0" w:after="0" w:line="240" w:lineRule="auto"/>
              <w:ind w:left="0" w:right="142"/>
              <w:jc w:val="center"/>
              <w:rPr>
                <w:rFonts w:cstheme="minorHAnsi"/>
                <w:b/>
                <w:bCs/>
                <w:color w:val="FFFFFF" w:themeColor="background1"/>
              </w:rPr>
            </w:pPr>
            <w:r w:rsidRPr="007457F1">
              <w:rPr>
                <w:rFonts w:eastAsia="Calibri" w:cstheme="minorHAnsi"/>
                <w:b/>
                <w:bCs/>
                <w:color w:val="FFFFFF" w:themeColor="background1"/>
              </w:rPr>
              <w:t>Bando</w:t>
            </w:r>
          </w:p>
        </w:tc>
        <w:tc>
          <w:tcPr>
            <w:tcW w:w="1268" w:type="dxa"/>
            <w:tcBorders>
              <w:top w:val="thinThickSmallGap" w:sz="24" w:space="0" w:color="000000"/>
              <w:bottom w:val="thickThinSmallGap" w:sz="24" w:space="0" w:color="000000"/>
            </w:tcBorders>
            <w:shd w:val="clear" w:color="auto" w:fill="808080" w:themeFill="background1" w:themeFillShade="80"/>
            <w:vAlign w:val="center"/>
          </w:tcPr>
          <w:p w14:paraId="3A12DC36" w14:textId="77777777" w:rsidR="00C77C37" w:rsidRPr="007457F1" w:rsidRDefault="00204E95" w:rsidP="007457F1">
            <w:pPr>
              <w:widowControl w:val="0"/>
              <w:spacing w:before="0" w:after="0" w:line="240" w:lineRule="auto"/>
              <w:ind w:left="0" w:right="142"/>
              <w:jc w:val="center"/>
              <w:rPr>
                <w:rFonts w:cstheme="minorHAnsi"/>
                <w:b/>
                <w:bCs/>
                <w:color w:val="FFFFFF" w:themeColor="background1"/>
              </w:rPr>
            </w:pPr>
            <w:r w:rsidRPr="007457F1">
              <w:rPr>
                <w:rFonts w:eastAsia="Calibri" w:cstheme="minorHAnsi"/>
                <w:b/>
                <w:bCs/>
                <w:color w:val="FFFFFF" w:themeColor="background1"/>
              </w:rPr>
              <w:t>Misura</w:t>
            </w:r>
          </w:p>
        </w:tc>
        <w:tc>
          <w:tcPr>
            <w:tcW w:w="1708" w:type="dxa"/>
            <w:tcBorders>
              <w:top w:val="thinThickSmallGap" w:sz="24" w:space="0" w:color="000000"/>
              <w:bottom w:val="thickThinSmallGap" w:sz="24" w:space="0" w:color="000000"/>
            </w:tcBorders>
            <w:shd w:val="clear" w:color="auto" w:fill="808080" w:themeFill="background1" w:themeFillShade="80"/>
            <w:vAlign w:val="center"/>
          </w:tcPr>
          <w:p w14:paraId="0096DC09" w14:textId="77777777" w:rsidR="00C77C37" w:rsidRPr="007457F1" w:rsidRDefault="00204E95" w:rsidP="007457F1">
            <w:pPr>
              <w:widowControl w:val="0"/>
              <w:spacing w:before="0" w:after="0" w:line="240" w:lineRule="auto"/>
              <w:ind w:left="0" w:right="142"/>
              <w:jc w:val="center"/>
              <w:rPr>
                <w:rFonts w:cstheme="minorHAnsi"/>
                <w:b/>
                <w:bCs/>
                <w:color w:val="FFFFFF" w:themeColor="background1"/>
              </w:rPr>
            </w:pPr>
            <w:r w:rsidRPr="007457F1">
              <w:rPr>
                <w:rFonts w:eastAsia="Calibri" w:cstheme="minorHAnsi"/>
                <w:b/>
                <w:bCs/>
                <w:color w:val="FFFFFF" w:themeColor="background1"/>
              </w:rPr>
              <w:t>Importo</w:t>
            </w:r>
          </w:p>
        </w:tc>
        <w:tc>
          <w:tcPr>
            <w:tcW w:w="1932" w:type="dxa"/>
            <w:tcBorders>
              <w:top w:val="thinThickSmallGap" w:sz="24" w:space="0" w:color="000000"/>
              <w:bottom w:val="thickThinSmallGap" w:sz="24" w:space="0" w:color="000000"/>
            </w:tcBorders>
            <w:shd w:val="clear" w:color="auto" w:fill="808080" w:themeFill="background1" w:themeFillShade="80"/>
            <w:vAlign w:val="center"/>
          </w:tcPr>
          <w:p w14:paraId="368405A2" w14:textId="77777777" w:rsidR="00C77C37" w:rsidRPr="007457F1" w:rsidRDefault="00204E95" w:rsidP="007457F1">
            <w:pPr>
              <w:widowControl w:val="0"/>
              <w:spacing w:before="0" w:after="0" w:line="240" w:lineRule="auto"/>
              <w:ind w:left="0" w:right="142"/>
              <w:jc w:val="center"/>
              <w:rPr>
                <w:rFonts w:cstheme="minorHAnsi"/>
                <w:b/>
                <w:bCs/>
                <w:color w:val="FFFFFF" w:themeColor="background1"/>
              </w:rPr>
            </w:pPr>
            <w:r w:rsidRPr="007457F1">
              <w:rPr>
                <w:rFonts w:eastAsia="Calibri" w:cstheme="minorHAnsi"/>
                <w:b/>
                <w:bCs/>
                <w:color w:val="FFFFFF" w:themeColor="background1"/>
              </w:rPr>
              <w:t>Obiettivo</w:t>
            </w:r>
          </w:p>
        </w:tc>
        <w:tc>
          <w:tcPr>
            <w:tcW w:w="1559" w:type="dxa"/>
            <w:tcBorders>
              <w:top w:val="thinThickSmallGap" w:sz="24" w:space="0" w:color="000000"/>
              <w:bottom w:val="thickThinSmallGap" w:sz="24" w:space="0" w:color="000000"/>
            </w:tcBorders>
            <w:shd w:val="clear" w:color="auto" w:fill="808080" w:themeFill="background1" w:themeFillShade="80"/>
            <w:vAlign w:val="center"/>
          </w:tcPr>
          <w:p w14:paraId="01D8F2D2" w14:textId="77777777" w:rsidR="00C77C37" w:rsidRPr="007457F1" w:rsidRDefault="00204E95" w:rsidP="007457F1">
            <w:pPr>
              <w:widowControl w:val="0"/>
              <w:spacing w:before="0" w:after="0" w:line="240" w:lineRule="auto"/>
              <w:ind w:left="0" w:right="142"/>
              <w:jc w:val="center"/>
              <w:rPr>
                <w:rFonts w:cstheme="minorHAnsi"/>
                <w:b/>
                <w:bCs/>
                <w:color w:val="FFFFFF" w:themeColor="background1"/>
              </w:rPr>
            </w:pPr>
            <w:r w:rsidRPr="007457F1">
              <w:rPr>
                <w:rFonts w:eastAsia="Calibri" w:cstheme="minorHAnsi"/>
                <w:b/>
                <w:bCs/>
                <w:color w:val="FFFFFF" w:themeColor="background1"/>
              </w:rPr>
              <w:t>Data Prevista</w:t>
            </w:r>
          </w:p>
        </w:tc>
      </w:tr>
      <w:tr w:rsidR="007457F1" w:rsidRPr="007457F1" w14:paraId="2A423385" w14:textId="77777777" w:rsidTr="007457F1">
        <w:tc>
          <w:tcPr>
            <w:tcW w:w="2135" w:type="dxa"/>
            <w:tcBorders>
              <w:top w:val="thickThinSmallGap" w:sz="24" w:space="0" w:color="000000"/>
            </w:tcBorders>
            <w:vAlign w:val="center"/>
          </w:tcPr>
          <w:p w14:paraId="3380FE6C" w14:textId="19D589AD" w:rsidR="00C77C37" w:rsidRPr="007457F1" w:rsidRDefault="00C77C37" w:rsidP="0014034E"/>
        </w:tc>
        <w:tc>
          <w:tcPr>
            <w:tcW w:w="1268" w:type="dxa"/>
            <w:tcBorders>
              <w:top w:val="thickThinSmallGap" w:sz="24" w:space="0" w:color="000000"/>
            </w:tcBorders>
            <w:vAlign w:val="center"/>
          </w:tcPr>
          <w:p w14:paraId="76AD4F5F" w14:textId="3E27D9A6" w:rsidR="00C77C37" w:rsidRPr="007457F1" w:rsidRDefault="00C77C37" w:rsidP="0014034E"/>
        </w:tc>
        <w:tc>
          <w:tcPr>
            <w:tcW w:w="1708" w:type="dxa"/>
            <w:tcBorders>
              <w:top w:val="thickThinSmallGap" w:sz="24" w:space="0" w:color="000000"/>
            </w:tcBorders>
            <w:vAlign w:val="center"/>
          </w:tcPr>
          <w:p w14:paraId="71CADD0E" w14:textId="4B8165B6" w:rsidR="00C77C37" w:rsidRPr="007457F1" w:rsidRDefault="00C77C37" w:rsidP="0014034E">
            <w:pPr>
              <w:rPr>
                <w:rFonts w:eastAsia="Calibri"/>
              </w:rPr>
            </w:pPr>
          </w:p>
        </w:tc>
        <w:tc>
          <w:tcPr>
            <w:tcW w:w="1932" w:type="dxa"/>
            <w:tcBorders>
              <w:top w:val="thickThinSmallGap" w:sz="24" w:space="0" w:color="000000"/>
            </w:tcBorders>
            <w:vAlign w:val="center"/>
          </w:tcPr>
          <w:p w14:paraId="0E8F5182" w14:textId="7CFB3085" w:rsidR="00C77C37" w:rsidRPr="007457F1" w:rsidRDefault="00C77C37" w:rsidP="0014034E">
            <w:pPr>
              <w:rPr>
                <w:rFonts w:eastAsia="Calibri"/>
              </w:rPr>
            </w:pPr>
          </w:p>
        </w:tc>
        <w:tc>
          <w:tcPr>
            <w:tcW w:w="1559" w:type="dxa"/>
            <w:tcBorders>
              <w:top w:val="thickThinSmallGap" w:sz="24" w:space="0" w:color="000000"/>
            </w:tcBorders>
            <w:vAlign w:val="center"/>
          </w:tcPr>
          <w:p w14:paraId="69959356" w14:textId="77777777" w:rsidR="00C77C37" w:rsidRPr="007457F1" w:rsidRDefault="00C77C37" w:rsidP="0014034E">
            <w:pPr>
              <w:rPr>
                <w:rFonts w:eastAsia="Calibri"/>
              </w:rPr>
            </w:pPr>
          </w:p>
        </w:tc>
      </w:tr>
      <w:tr w:rsidR="007457F1" w:rsidRPr="007457F1" w14:paraId="0F353E1E" w14:textId="77777777" w:rsidTr="007457F1">
        <w:tc>
          <w:tcPr>
            <w:tcW w:w="2135" w:type="dxa"/>
            <w:vAlign w:val="center"/>
          </w:tcPr>
          <w:p w14:paraId="48BF30A9" w14:textId="282D923D" w:rsidR="00C77C37" w:rsidRPr="007457F1" w:rsidRDefault="00C77C37" w:rsidP="0014034E">
            <w:pPr>
              <w:rPr>
                <w:rFonts w:eastAsia="Calibri"/>
              </w:rPr>
            </w:pPr>
          </w:p>
        </w:tc>
        <w:tc>
          <w:tcPr>
            <w:tcW w:w="1268" w:type="dxa"/>
            <w:vAlign w:val="center"/>
          </w:tcPr>
          <w:p w14:paraId="69BA97D6" w14:textId="2F88A4F8" w:rsidR="00C77C37" w:rsidRPr="007457F1" w:rsidRDefault="00C77C37" w:rsidP="0014034E">
            <w:pPr>
              <w:rPr>
                <w:rFonts w:eastAsia="Calibri"/>
              </w:rPr>
            </w:pPr>
          </w:p>
        </w:tc>
        <w:tc>
          <w:tcPr>
            <w:tcW w:w="1708" w:type="dxa"/>
            <w:vAlign w:val="center"/>
          </w:tcPr>
          <w:p w14:paraId="365FE1C8" w14:textId="75EA1085" w:rsidR="00C77C37" w:rsidRPr="007457F1" w:rsidRDefault="00C77C37" w:rsidP="0014034E">
            <w:pPr>
              <w:rPr>
                <w:rFonts w:eastAsia="Calibri"/>
              </w:rPr>
            </w:pPr>
          </w:p>
        </w:tc>
        <w:tc>
          <w:tcPr>
            <w:tcW w:w="1932" w:type="dxa"/>
            <w:vAlign w:val="center"/>
          </w:tcPr>
          <w:p w14:paraId="176584DC" w14:textId="5CB70FE8" w:rsidR="00C77C37" w:rsidRPr="007457F1" w:rsidRDefault="00C77C37" w:rsidP="0014034E">
            <w:pPr>
              <w:rPr>
                <w:rFonts w:eastAsia="Calibri"/>
              </w:rPr>
            </w:pPr>
          </w:p>
        </w:tc>
        <w:tc>
          <w:tcPr>
            <w:tcW w:w="1559" w:type="dxa"/>
            <w:vAlign w:val="center"/>
          </w:tcPr>
          <w:p w14:paraId="2CA69F2D" w14:textId="300F798E" w:rsidR="00C77C37" w:rsidRPr="007457F1" w:rsidRDefault="00C77C37" w:rsidP="0014034E">
            <w:pPr>
              <w:rPr>
                <w:rFonts w:eastAsia="Calibri"/>
              </w:rPr>
            </w:pPr>
          </w:p>
        </w:tc>
      </w:tr>
      <w:tr w:rsidR="007457F1" w:rsidRPr="007457F1" w14:paraId="1854804B" w14:textId="77777777" w:rsidTr="007457F1">
        <w:tc>
          <w:tcPr>
            <w:tcW w:w="2135" w:type="dxa"/>
            <w:vAlign w:val="center"/>
          </w:tcPr>
          <w:p w14:paraId="089CC44B" w14:textId="6E81AE44" w:rsidR="00C77C37" w:rsidRPr="007457F1" w:rsidRDefault="00C77C37" w:rsidP="0014034E">
            <w:pPr>
              <w:rPr>
                <w:rFonts w:eastAsia="Calibri"/>
              </w:rPr>
            </w:pPr>
          </w:p>
        </w:tc>
        <w:tc>
          <w:tcPr>
            <w:tcW w:w="1268" w:type="dxa"/>
            <w:vAlign w:val="center"/>
          </w:tcPr>
          <w:p w14:paraId="012317FD" w14:textId="2B5171A6" w:rsidR="00C77C37" w:rsidRPr="007457F1" w:rsidRDefault="00C77C37" w:rsidP="0014034E">
            <w:pPr>
              <w:rPr>
                <w:rFonts w:eastAsia="Calibri"/>
              </w:rPr>
            </w:pPr>
          </w:p>
        </w:tc>
        <w:tc>
          <w:tcPr>
            <w:tcW w:w="1708" w:type="dxa"/>
            <w:vAlign w:val="center"/>
          </w:tcPr>
          <w:p w14:paraId="3A5BF4DD" w14:textId="31191BEF" w:rsidR="00C77C37" w:rsidRPr="007457F1" w:rsidRDefault="00C77C37" w:rsidP="0014034E">
            <w:pPr>
              <w:rPr>
                <w:rFonts w:eastAsia="Calibri"/>
              </w:rPr>
            </w:pPr>
          </w:p>
        </w:tc>
        <w:tc>
          <w:tcPr>
            <w:tcW w:w="1932" w:type="dxa"/>
            <w:vAlign w:val="center"/>
          </w:tcPr>
          <w:p w14:paraId="74CDA5B7" w14:textId="5435DAD6" w:rsidR="00C77C37" w:rsidRPr="007457F1" w:rsidRDefault="00C77C37" w:rsidP="0014034E">
            <w:pPr>
              <w:rPr>
                <w:rFonts w:eastAsia="Calibri"/>
              </w:rPr>
            </w:pPr>
          </w:p>
        </w:tc>
        <w:tc>
          <w:tcPr>
            <w:tcW w:w="1559" w:type="dxa"/>
            <w:vAlign w:val="center"/>
          </w:tcPr>
          <w:p w14:paraId="105B4436" w14:textId="77500752" w:rsidR="00C77C37" w:rsidRPr="007457F1" w:rsidRDefault="00C77C37" w:rsidP="0014034E">
            <w:pPr>
              <w:rPr>
                <w:rFonts w:eastAsia="Calibri"/>
              </w:rPr>
            </w:pPr>
          </w:p>
        </w:tc>
      </w:tr>
      <w:tr w:rsidR="007457F1" w:rsidRPr="007457F1" w14:paraId="111F107B" w14:textId="77777777" w:rsidTr="007457F1">
        <w:tc>
          <w:tcPr>
            <w:tcW w:w="2135" w:type="dxa"/>
            <w:vAlign w:val="center"/>
          </w:tcPr>
          <w:p w14:paraId="7CCA8B51" w14:textId="5DEB8243" w:rsidR="00C77C37" w:rsidRPr="007457F1" w:rsidRDefault="00C77C37" w:rsidP="0014034E">
            <w:pPr>
              <w:rPr>
                <w:rFonts w:eastAsia="Calibri"/>
              </w:rPr>
            </w:pPr>
          </w:p>
        </w:tc>
        <w:tc>
          <w:tcPr>
            <w:tcW w:w="1268" w:type="dxa"/>
            <w:vAlign w:val="center"/>
          </w:tcPr>
          <w:p w14:paraId="014FACF9" w14:textId="427D59D1" w:rsidR="00C77C37" w:rsidRPr="007457F1" w:rsidRDefault="00C77C37" w:rsidP="0014034E">
            <w:pPr>
              <w:rPr>
                <w:rFonts w:eastAsia="Calibri"/>
              </w:rPr>
            </w:pPr>
          </w:p>
        </w:tc>
        <w:tc>
          <w:tcPr>
            <w:tcW w:w="1708" w:type="dxa"/>
            <w:vAlign w:val="center"/>
          </w:tcPr>
          <w:p w14:paraId="68AB7A63" w14:textId="7AD7C3BE" w:rsidR="00C77C37" w:rsidRPr="007457F1" w:rsidRDefault="00C77C37" w:rsidP="0014034E">
            <w:pPr>
              <w:rPr>
                <w:rFonts w:eastAsia="Calibri"/>
              </w:rPr>
            </w:pPr>
          </w:p>
        </w:tc>
        <w:tc>
          <w:tcPr>
            <w:tcW w:w="1932" w:type="dxa"/>
            <w:vAlign w:val="center"/>
          </w:tcPr>
          <w:p w14:paraId="15830F12" w14:textId="3409E660" w:rsidR="00C77C37" w:rsidRPr="007457F1" w:rsidRDefault="00C77C37" w:rsidP="0014034E">
            <w:pPr>
              <w:rPr>
                <w:rFonts w:eastAsia="Calibri"/>
              </w:rPr>
            </w:pPr>
          </w:p>
        </w:tc>
        <w:tc>
          <w:tcPr>
            <w:tcW w:w="1559" w:type="dxa"/>
            <w:vAlign w:val="center"/>
          </w:tcPr>
          <w:p w14:paraId="5FE5E214" w14:textId="0007530E" w:rsidR="00C77C37" w:rsidRPr="007457F1" w:rsidRDefault="00C77C37" w:rsidP="0014034E">
            <w:pPr>
              <w:rPr>
                <w:rFonts w:eastAsia="Calibri"/>
              </w:rPr>
            </w:pPr>
          </w:p>
        </w:tc>
      </w:tr>
      <w:tr w:rsidR="007457F1" w:rsidRPr="007457F1" w14:paraId="497842A2" w14:textId="77777777" w:rsidTr="007457F1">
        <w:tc>
          <w:tcPr>
            <w:tcW w:w="2135" w:type="dxa"/>
            <w:tcBorders>
              <w:top w:val="nil"/>
            </w:tcBorders>
            <w:vAlign w:val="center"/>
          </w:tcPr>
          <w:p w14:paraId="6FC7F1C8" w14:textId="34275496" w:rsidR="00C77C37" w:rsidRPr="007457F1" w:rsidRDefault="00C77C37" w:rsidP="0014034E">
            <w:pPr>
              <w:rPr>
                <w:rFonts w:eastAsia="Calibri"/>
              </w:rPr>
            </w:pPr>
          </w:p>
        </w:tc>
        <w:tc>
          <w:tcPr>
            <w:tcW w:w="1268" w:type="dxa"/>
            <w:tcBorders>
              <w:top w:val="nil"/>
            </w:tcBorders>
            <w:vAlign w:val="center"/>
          </w:tcPr>
          <w:p w14:paraId="64938136" w14:textId="6D781E17" w:rsidR="00C77C37" w:rsidRPr="007457F1" w:rsidRDefault="00C77C37" w:rsidP="0014034E">
            <w:pPr>
              <w:rPr>
                <w:rFonts w:eastAsia="Calibri"/>
              </w:rPr>
            </w:pPr>
            <w:bookmarkStart w:id="31" w:name="detail-title"/>
            <w:bookmarkEnd w:id="31"/>
          </w:p>
        </w:tc>
        <w:tc>
          <w:tcPr>
            <w:tcW w:w="1708" w:type="dxa"/>
            <w:tcBorders>
              <w:top w:val="nil"/>
            </w:tcBorders>
            <w:vAlign w:val="center"/>
          </w:tcPr>
          <w:p w14:paraId="09D0E2B1" w14:textId="3BE2237C" w:rsidR="00C77C37" w:rsidRPr="007457F1" w:rsidRDefault="00C77C37" w:rsidP="0014034E">
            <w:pPr>
              <w:rPr>
                <w:rFonts w:eastAsia="Calibri"/>
              </w:rPr>
            </w:pPr>
          </w:p>
        </w:tc>
        <w:tc>
          <w:tcPr>
            <w:tcW w:w="1932" w:type="dxa"/>
            <w:tcBorders>
              <w:top w:val="nil"/>
            </w:tcBorders>
            <w:vAlign w:val="center"/>
          </w:tcPr>
          <w:p w14:paraId="2D954D42" w14:textId="7589A093" w:rsidR="00C77C37" w:rsidRPr="007457F1" w:rsidRDefault="00C77C37" w:rsidP="0014034E">
            <w:pPr>
              <w:rPr>
                <w:rFonts w:eastAsia="Calibri"/>
              </w:rPr>
            </w:pPr>
          </w:p>
        </w:tc>
        <w:tc>
          <w:tcPr>
            <w:tcW w:w="1559" w:type="dxa"/>
            <w:tcBorders>
              <w:top w:val="nil"/>
            </w:tcBorders>
            <w:vAlign w:val="center"/>
          </w:tcPr>
          <w:p w14:paraId="53C1B637" w14:textId="2EF12E4A" w:rsidR="00C77C37" w:rsidRPr="007457F1" w:rsidRDefault="00C77C37" w:rsidP="0014034E">
            <w:pPr>
              <w:rPr>
                <w:rFonts w:eastAsia="Calibri"/>
              </w:rPr>
            </w:pPr>
          </w:p>
        </w:tc>
      </w:tr>
      <w:tr w:rsidR="007457F1" w:rsidRPr="007457F1" w14:paraId="0941442B" w14:textId="77777777" w:rsidTr="007457F1">
        <w:trPr>
          <w:trHeight w:val="1793"/>
        </w:trPr>
        <w:tc>
          <w:tcPr>
            <w:tcW w:w="2135" w:type="dxa"/>
            <w:vAlign w:val="center"/>
          </w:tcPr>
          <w:p w14:paraId="25A114D9" w14:textId="1B19CA17" w:rsidR="00C77C37" w:rsidRPr="007457F1" w:rsidRDefault="00C77C37" w:rsidP="0014034E"/>
        </w:tc>
        <w:tc>
          <w:tcPr>
            <w:tcW w:w="1268" w:type="dxa"/>
            <w:tcBorders>
              <w:top w:val="nil"/>
            </w:tcBorders>
            <w:vAlign w:val="center"/>
          </w:tcPr>
          <w:p w14:paraId="2FA99410" w14:textId="71C12E4A" w:rsidR="00C77C37" w:rsidRPr="007457F1" w:rsidRDefault="00C77C37" w:rsidP="0014034E">
            <w:bookmarkStart w:id="32" w:name="detail-title_Copy_1"/>
            <w:bookmarkEnd w:id="32"/>
          </w:p>
        </w:tc>
        <w:tc>
          <w:tcPr>
            <w:tcW w:w="1708" w:type="dxa"/>
            <w:tcBorders>
              <w:top w:val="nil"/>
            </w:tcBorders>
            <w:vAlign w:val="center"/>
          </w:tcPr>
          <w:p w14:paraId="17A1EB61" w14:textId="77BEE76D" w:rsidR="00C77C37" w:rsidRPr="007457F1" w:rsidRDefault="00C77C37" w:rsidP="0014034E">
            <w:pPr>
              <w:rPr>
                <w:rFonts w:eastAsia="Calibri"/>
              </w:rPr>
            </w:pPr>
          </w:p>
        </w:tc>
        <w:tc>
          <w:tcPr>
            <w:tcW w:w="1932" w:type="dxa"/>
            <w:tcBorders>
              <w:top w:val="nil"/>
            </w:tcBorders>
            <w:vAlign w:val="center"/>
          </w:tcPr>
          <w:p w14:paraId="39CF993E" w14:textId="5E3D7BB0" w:rsidR="00C77C37" w:rsidRPr="007457F1" w:rsidRDefault="00C77C37" w:rsidP="0014034E">
            <w:pPr>
              <w:rPr>
                <w:rFonts w:eastAsia="Calibri"/>
              </w:rPr>
            </w:pPr>
          </w:p>
        </w:tc>
        <w:tc>
          <w:tcPr>
            <w:tcW w:w="1559" w:type="dxa"/>
            <w:tcBorders>
              <w:top w:val="nil"/>
            </w:tcBorders>
            <w:vAlign w:val="center"/>
          </w:tcPr>
          <w:p w14:paraId="6C36B16B" w14:textId="63E4DEA0" w:rsidR="00C77C37" w:rsidRPr="007457F1" w:rsidRDefault="00C77C37" w:rsidP="0014034E">
            <w:pPr>
              <w:rPr>
                <w:rFonts w:eastAsia="Calibri"/>
              </w:rPr>
            </w:pPr>
          </w:p>
        </w:tc>
      </w:tr>
      <w:tr w:rsidR="007457F1" w:rsidRPr="007457F1" w14:paraId="0AE9E514" w14:textId="77777777" w:rsidTr="007457F1">
        <w:tc>
          <w:tcPr>
            <w:tcW w:w="2135" w:type="dxa"/>
            <w:tcBorders>
              <w:top w:val="nil"/>
            </w:tcBorders>
            <w:vAlign w:val="center"/>
          </w:tcPr>
          <w:p w14:paraId="27E0E77C" w14:textId="18755D7D" w:rsidR="00C77C37" w:rsidRPr="007457F1" w:rsidRDefault="00C77C37" w:rsidP="0014034E">
            <w:pPr>
              <w:rPr>
                <w:rFonts w:eastAsia="Calibri"/>
              </w:rPr>
            </w:pPr>
          </w:p>
        </w:tc>
        <w:tc>
          <w:tcPr>
            <w:tcW w:w="1268" w:type="dxa"/>
            <w:tcBorders>
              <w:top w:val="nil"/>
            </w:tcBorders>
            <w:vAlign w:val="center"/>
          </w:tcPr>
          <w:p w14:paraId="7A1D4CEC" w14:textId="59D3411A" w:rsidR="00C77C37" w:rsidRPr="007457F1" w:rsidRDefault="00C77C37" w:rsidP="0014034E">
            <w:pPr>
              <w:rPr>
                <w:rFonts w:eastAsia="Calibri"/>
              </w:rPr>
            </w:pPr>
            <w:bookmarkStart w:id="33" w:name="detail-title_Copy_1_Copy_1"/>
            <w:bookmarkEnd w:id="33"/>
          </w:p>
        </w:tc>
        <w:tc>
          <w:tcPr>
            <w:tcW w:w="1708" w:type="dxa"/>
            <w:tcBorders>
              <w:top w:val="nil"/>
            </w:tcBorders>
            <w:vAlign w:val="center"/>
          </w:tcPr>
          <w:p w14:paraId="511CE182" w14:textId="01634ED0" w:rsidR="00C77C37" w:rsidRPr="007457F1" w:rsidRDefault="00C77C37" w:rsidP="0014034E">
            <w:pPr>
              <w:rPr>
                <w:rFonts w:eastAsia="Calibri"/>
              </w:rPr>
            </w:pPr>
          </w:p>
        </w:tc>
        <w:tc>
          <w:tcPr>
            <w:tcW w:w="1932" w:type="dxa"/>
            <w:tcBorders>
              <w:top w:val="nil"/>
            </w:tcBorders>
            <w:vAlign w:val="center"/>
          </w:tcPr>
          <w:p w14:paraId="5C042818" w14:textId="5FEC2564" w:rsidR="00C77C37" w:rsidRPr="007457F1" w:rsidRDefault="00C77C37" w:rsidP="0014034E">
            <w:pPr>
              <w:rPr>
                <w:rFonts w:eastAsia="Calibri"/>
              </w:rPr>
            </w:pPr>
          </w:p>
        </w:tc>
        <w:tc>
          <w:tcPr>
            <w:tcW w:w="1559" w:type="dxa"/>
            <w:tcBorders>
              <w:top w:val="nil"/>
            </w:tcBorders>
            <w:vAlign w:val="center"/>
          </w:tcPr>
          <w:p w14:paraId="268301D4" w14:textId="476A9BE9" w:rsidR="00C77C37" w:rsidRPr="007457F1" w:rsidRDefault="00C77C37" w:rsidP="0014034E">
            <w:pPr>
              <w:rPr>
                <w:rFonts w:eastAsia="Calibri"/>
              </w:rPr>
            </w:pPr>
          </w:p>
        </w:tc>
      </w:tr>
    </w:tbl>
    <w:p w14:paraId="4A05F98C" w14:textId="77777777" w:rsidR="00C77C37" w:rsidRPr="007457F1" w:rsidRDefault="00C77C37" w:rsidP="007457F1">
      <w:pPr>
        <w:spacing w:before="0"/>
        <w:jc w:val="center"/>
        <w:rPr>
          <w:color w:val="3465A4"/>
        </w:rPr>
      </w:pPr>
    </w:p>
    <w:p w14:paraId="62433C0F" w14:textId="69903795" w:rsidR="00C77C37" w:rsidRPr="007457F1" w:rsidRDefault="00204E95">
      <w:pPr>
        <w:spacing w:before="0"/>
      </w:pPr>
      <w:r w:rsidRPr="007457F1">
        <w:t>Tutti gli investimenti sono stati coperti attraverso queste forme di Finanziamento mentre la spesa corrente è gestita attraverso fondi propri.</w:t>
      </w:r>
    </w:p>
    <w:p w14:paraId="0D7161AE" w14:textId="7DDBF957" w:rsidR="00C77C37" w:rsidRDefault="00E67AFA">
      <w:pPr>
        <w:spacing w:before="0"/>
      </w:pPr>
      <w:r w:rsidRPr="00E67AFA">
        <w:rPr>
          <w:highlight w:val="yellow"/>
        </w:rPr>
        <w:t>Elenco Costi ricorrenti ed investimento x anni 2022.2024…………………………………</w:t>
      </w:r>
    </w:p>
    <w:p w14:paraId="51BD12BF" w14:textId="77777777" w:rsidR="00C77C37" w:rsidRDefault="00C77C37">
      <w:pPr>
        <w:spacing w:before="0"/>
      </w:pPr>
    </w:p>
    <w:p w14:paraId="5D850E9D" w14:textId="7AF96B06" w:rsidR="00C77C37" w:rsidRDefault="00C77C37">
      <w:pPr>
        <w:spacing w:before="0"/>
      </w:pPr>
    </w:p>
    <w:p w14:paraId="548E8615" w14:textId="77777777" w:rsidR="00C77C37" w:rsidRDefault="00204E95">
      <w:pPr>
        <w:pStyle w:val="Titolo1"/>
        <w:spacing w:before="0"/>
        <w:rPr>
          <w:rFonts w:eastAsia="Calibri"/>
        </w:rPr>
      </w:pPr>
      <w:bookmarkStart w:id="34" w:name="_Toc85207151"/>
      <w:bookmarkStart w:id="35" w:name="_Toc127285868"/>
      <w:bookmarkStart w:id="36" w:name="_Toc127366221"/>
      <w:bookmarkStart w:id="37" w:name="_Toc157008333"/>
      <w:r>
        <w:rPr>
          <w:rFonts w:eastAsia="Calibri"/>
        </w:rPr>
        <w:lastRenderedPageBreak/>
        <w:t>PARTE II</w:t>
      </w:r>
      <w:r>
        <w:rPr>
          <w:rFonts w:eastAsia="Calibri"/>
          <w:vertAlign w:val="superscript"/>
        </w:rPr>
        <w:t>a</w:t>
      </w:r>
      <w:r>
        <w:rPr>
          <w:rFonts w:eastAsia="Calibri"/>
        </w:rPr>
        <w:t xml:space="preserve"> – LE COMPONENTI TECNOLOGICHE</w:t>
      </w:r>
      <w:bookmarkEnd w:id="34"/>
      <w:bookmarkEnd w:id="35"/>
      <w:bookmarkEnd w:id="36"/>
      <w:bookmarkEnd w:id="37"/>
    </w:p>
    <w:p w14:paraId="7ABAC6CA" w14:textId="77777777" w:rsidR="00C77C37" w:rsidRDefault="00204E95">
      <w:pPr>
        <w:ind w:right="7"/>
      </w:pPr>
      <w:r>
        <w:t xml:space="preserve">Questo Piano Triennale relativo agli anni 2022-2024 (in accordo con quello Nazionale) mantiene inalterata la struttura del documento fa riferimento al Modello strategico di evoluzione ICT della PA, che descrive in maniera funzionale la trasformazione digitale, attraverso: due livelli trasversali relativi a interoperabilità e sicurezza informatica e, quattro livelli verticali per servizi, dati, piattaforme ed infrastrutture. </w:t>
      </w:r>
    </w:p>
    <w:p w14:paraId="6A693A8D" w14:textId="77777777" w:rsidR="00C77C37" w:rsidRDefault="00204E95">
      <w:pPr>
        <w:spacing w:line="259" w:lineRule="auto"/>
        <w:ind w:left="43"/>
        <w:jc w:val="center"/>
      </w:pPr>
      <w:r>
        <w:rPr>
          <w:noProof/>
          <w:lang w:eastAsia="it-IT"/>
        </w:rPr>
        <w:drawing>
          <wp:inline distT="0" distB="0" distL="0" distR="0" wp14:anchorId="5646557B" wp14:editId="634A373C">
            <wp:extent cx="2031365" cy="2519045"/>
            <wp:effectExtent l="0" t="0" r="0" b="0"/>
            <wp:docPr id="10" name="Picture 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311"/>
                    <pic:cNvPicPr>
                      <a:picLocks noChangeAspect="1" noChangeArrowheads="1"/>
                    </pic:cNvPicPr>
                  </pic:nvPicPr>
                  <pic:blipFill>
                    <a:blip r:embed="rId21"/>
                    <a:stretch>
                      <a:fillRect/>
                    </a:stretch>
                  </pic:blipFill>
                  <pic:spPr bwMode="auto">
                    <a:xfrm>
                      <a:off x="0" y="0"/>
                      <a:ext cx="2031365" cy="2519045"/>
                    </a:xfrm>
                    <a:prstGeom prst="rect">
                      <a:avLst/>
                    </a:prstGeom>
                  </pic:spPr>
                </pic:pic>
              </a:graphicData>
            </a:graphic>
          </wp:inline>
        </w:drawing>
      </w:r>
      <w:r>
        <w:t xml:space="preserve"> </w:t>
      </w:r>
    </w:p>
    <w:p w14:paraId="61F82723" w14:textId="77777777" w:rsidR="00C77C37" w:rsidRDefault="00204E95">
      <w:pPr>
        <w:spacing w:line="259" w:lineRule="auto"/>
        <w:ind w:left="0" w:right="17"/>
        <w:jc w:val="center"/>
      </w:pPr>
      <w:r>
        <w:rPr>
          <w:i/>
          <w:sz w:val="20"/>
        </w:rPr>
        <w:t>Figura 1 - Modello strategico di evoluzione del sistema informativo della Pubblica Amministrazione</w:t>
      </w:r>
      <w:r>
        <w:rPr>
          <w:sz w:val="20"/>
        </w:rPr>
        <w:t xml:space="preserve"> </w:t>
      </w:r>
    </w:p>
    <w:p w14:paraId="0802437C" w14:textId="77777777" w:rsidR="00C77C37" w:rsidRDefault="00C77C37">
      <w:pPr>
        <w:spacing w:before="0"/>
      </w:pPr>
    </w:p>
    <w:p w14:paraId="59E39063" w14:textId="77777777" w:rsidR="00C77C37" w:rsidRDefault="00204E95">
      <w:pPr>
        <w:ind w:right="7"/>
      </w:pPr>
      <w:r>
        <w:t>Il Piano Triennale fornisce l’ultimo aggiornamento circa lo stato delle Linee d’Azione (LA) e dei Risultati Attesi (R.A.), tenendo conto sia dei cambiamenti intercorsi in ambito tecnologico e organizzativo, e soprattutto, dell’avvio della fase attuativa anche se non definita in precedenti Pianificazioni.</w:t>
      </w:r>
    </w:p>
    <w:p w14:paraId="0A27037B" w14:textId="77777777" w:rsidR="00C77C37" w:rsidRDefault="00204E95">
      <w:r>
        <w:t xml:space="preserve">In sintesi, si è tenuto conto delle variazioni avvenute negli ultimi anni (2020-2022) ed in particolare: </w:t>
      </w:r>
    </w:p>
    <w:p w14:paraId="15BD2D2C" w14:textId="77777777" w:rsidR="00C77C37" w:rsidRDefault="00204E95">
      <w:pPr>
        <w:numPr>
          <w:ilvl w:val="0"/>
          <w:numId w:val="26"/>
        </w:numPr>
        <w:spacing w:before="0" w:after="25" w:line="264" w:lineRule="auto"/>
        <w:ind w:right="7" w:hanging="360"/>
        <w:jc w:val="left"/>
        <w:rPr>
          <w:rFonts w:ascii="Calibri" w:eastAsia="Calibri" w:hAnsi="Calibri"/>
        </w:rPr>
      </w:pPr>
      <w:r>
        <w:t xml:space="preserve">la revisione del contesto normativo e strategico, in linea con gli ultimi interventi legislativi e le più recenti linee guida adottate; </w:t>
      </w:r>
    </w:p>
    <w:p w14:paraId="157AC043" w14:textId="77777777" w:rsidR="00C77C37" w:rsidRDefault="00204E95">
      <w:pPr>
        <w:numPr>
          <w:ilvl w:val="0"/>
          <w:numId w:val="26"/>
        </w:numPr>
        <w:spacing w:before="0" w:after="0" w:line="264" w:lineRule="auto"/>
        <w:ind w:right="7" w:hanging="360"/>
        <w:jc w:val="left"/>
        <w:rPr>
          <w:rFonts w:ascii="Calibri" w:eastAsia="Calibri" w:hAnsi="Calibri"/>
        </w:rPr>
      </w:pPr>
      <w:r>
        <w:t xml:space="preserve">l'adeguamento di obiettivi, risultati attesi e linee di azione per gli anni 2022, 2023 e 2024, </w:t>
      </w:r>
    </w:p>
    <w:p w14:paraId="212E8490" w14:textId="77777777" w:rsidR="00C77C37" w:rsidRDefault="00204E95">
      <w:pPr>
        <w:numPr>
          <w:ilvl w:val="0"/>
          <w:numId w:val="26"/>
        </w:numPr>
        <w:spacing w:before="0" w:after="25" w:line="264" w:lineRule="auto"/>
        <w:ind w:right="7" w:hanging="360"/>
        <w:jc w:val="left"/>
        <w:rPr>
          <w:rFonts w:ascii="Calibri" w:eastAsia="Calibri" w:hAnsi="Calibri"/>
        </w:rPr>
      </w:pPr>
      <w:r>
        <w:t>il mantenimento delle Linee di azione a carico delle PAL;</w:t>
      </w:r>
    </w:p>
    <w:p w14:paraId="10A040F6" w14:textId="77777777" w:rsidR="00C77C37" w:rsidRDefault="00204E95">
      <w:pPr>
        <w:numPr>
          <w:ilvl w:val="0"/>
          <w:numId w:val="26"/>
        </w:numPr>
        <w:spacing w:before="0" w:after="0" w:line="264" w:lineRule="auto"/>
        <w:ind w:right="7" w:hanging="360"/>
        <w:jc w:val="left"/>
      </w:pPr>
      <w:r>
        <w:t xml:space="preserve">la riformulazione e ripianificazione delle linee di azione che non hanno raggiunto la naturale conclusione. </w:t>
      </w:r>
    </w:p>
    <w:p w14:paraId="6EE8DD21" w14:textId="77777777" w:rsidR="00C77C37" w:rsidRDefault="00204E95">
      <w:pPr>
        <w:spacing w:before="0"/>
      </w:pPr>
      <w:r>
        <w:t>Il corpo centrale del presente documento è costituito da:</w:t>
      </w:r>
    </w:p>
    <w:p w14:paraId="76782AEE" w14:textId="77777777" w:rsidR="00C77C37" w:rsidRDefault="00204E95">
      <w:pPr>
        <w:pStyle w:val="Paragrafoelenco"/>
        <w:numPr>
          <w:ilvl w:val="0"/>
          <w:numId w:val="1"/>
        </w:numPr>
      </w:pPr>
      <w:r>
        <w:lastRenderedPageBreak/>
        <w:t>1 capitolo per ogni componente tecnologica con le relative linee d’azione ipotizzate (che sono riportate in dettaglio in allegato) di cui se ne fa una sintesi capitolo per capitolo.</w:t>
      </w:r>
    </w:p>
    <w:p w14:paraId="7B13D4AF" w14:textId="77777777" w:rsidR="00C77C37" w:rsidRDefault="00204E95">
      <w:pPr>
        <w:pStyle w:val="Paragrafoelenco"/>
      </w:pPr>
      <w:r>
        <w:t>Si specifica che i capitoli relativi alle componenti tecnologiche non fanno riferimento solo alle sei componenti tecnologiche previste dal modello AGID.</w:t>
      </w:r>
    </w:p>
    <w:p w14:paraId="42D330E4" w14:textId="77777777" w:rsidR="00C77C37" w:rsidRDefault="00204E95">
      <w:pPr>
        <w:pStyle w:val="Paragrafoelenco"/>
        <w:numPr>
          <w:ilvl w:val="0"/>
          <w:numId w:val="1"/>
        </w:numPr>
      </w:pPr>
      <w:r>
        <w:t>Ulteriori capitoli relativi a temi di interesse per l’Amministrazione in riferimento alla trasformazione digitale.</w:t>
      </w:r>
    </w:p>
    <w:p w14:paraId="3B076349" w14:textId="77777777" w:rsidR="00C77C37" w:rsidRDefault="00204E95">
      <w:pPr>
        <w:pStyle w:val="Titolo3"/>
      </w:pPr>
      <w:bookmarkStart w:id="38" w:name="_Toc157008334"/>
      <w:r>
        <w:t>Obiettivo dell’Amministrazione</w:t>
      </w:r>
      <w:bookmarkEnd w:id="38"/>
    </w:p>
    <w:p w14:paraId="2B41BBCF" w14:textId="179043E7" w:rsidR="00C77C37" w:rsidRDefault="00204E95" w:rsidP="00E67AFA">
      <w:r w:rsidRPr="00E67AFA">
        <w:rPr>
          <w:highlight w:val="yellow"/>
        </w:rPr>
        <w:t xml:space="preserve">L’obiettivo primario </w:t>
      </w:r>
      <w:r w:rsidR="00E67AFA" w:rsidRPr="00E67AFA">
        <w:rPr>
          <w:highlight w:val="yellow"/>
        </w:rPr>
        <w:t>……………………..</w:t>
      </w:r>
    </w:p>
    <w:p w14:paraId="13CEC37A" w14:textId="77777777" w:rsidR="00C77C37" w:rsidRDefault="00204E95">
      <w:pPr>
        <w:pStyle w:val="Titolo3"/>
      </w:pPr>
      <w:bookmarkStart w:id="39" w:name="_Toc101432270"/>
      <w:bookmarkStart w:id="40" w:name="_Toc157008335"/>
      <w:r>
        <w:t>Ambito progettuale</w:t>
      </w:r>
      <w:bookmarkEnd w:id="39"/>
      <w:bookmarkEnd w:id="40"/>
    </w:p>
    <w:p w14:paraId="7E2DD989" w14:textId="346772C1" w:rsidR="00E67AFA" w:rsidRDefault="00204E95" w:rsidP="00E67AFA">
      <w:r w:rsidRPr="00E67AFA">
        <w:rPr>
          <w:highlight w:val="yellow"/>
        </w:rPr>
        <w:t xml:space="preserve">Si è scelto di </w:t>
      </w:r>
      <w:r w:rsidR="00E67AFA" w:rsidRPr="00E67AFA">
        <w:rPr>
          <w:highlight w:val="yellow"/>
        </w:rPr>
        <w:t>……………………..</w:t>
      </w:r>
    </w:p>
    <w:p w14:paraId="454FD3C7" w14:textId="1489B848" w:rsidR="00C77C37" w:rsidRDefault="00204E95">
      <w:pPr>
        <w:spacing w:before="0"/>
        <w:ind w:left="0"/>
      </w:pPr>
      <w:r>
        <w:br w:type="page"/>
      </w:r>
    </w:p>
    <w:p w14:paraId="227C4067" w14:textId="77777777" w:rsidR="00C77C37" w:rsidRDefault="00204E95">
      <w:pPr>
        <w:pStyle w:val="Titolo2"/>
      </w:pPr>
      <w:bookmarkStart w:id="41" w:name="_Toc85207184"/>
      <w:bookmarkStart w:id="42" w:name="_Toc93328304"/>
      <w:bookmarkStart w:id="43" w:name="_Toc127285874"/>
      <w:bookmarkStart w:id="44" w:name="_Toc127366226"/>
      <w:bookmarkStart w:id="45" w:name="_Toc157008336"/>
      <w:bookmarkEnd w:id="41"/>
      <w:r>
        <w:lastRenderedPageBreak/>
        <w:t>Capitolo 1. Servizi</w:t>
      </w:r>
      <w:bookmarkEnd w:id="42"/>
      <w:bookmarkEnd w:id="43"/>
      <w:bookmarkEnd w:id="44"/>
      <w:bookmarkEnd w:id="45"/>
    </w:p>
    <w:p w14:paraId="13BF715C" w14:textId="77777777" w:rsidR="00C77C37" w:rsidRDefault="00204E95">
      <w:pPr>
        <w:spacing w:before="0"/>
      </w:pPr>
      <w:r>
        <w:t>Il miglioramento della qualità dei servizi pubblici digitali costituisce la premessa indispensabile per l’incremento del loro utilizzo da parte degli utenti, siano questi cittadini, imprese o altre amministrazioni pubbliche.</w:t>
      </w:r>
    </w:p>
    <w:p w14:paraId="326C83E8" w14:textId="77777777" w:rsidR="00C77C37" w:rsidRDefault="00204E95">
      <w:pPr>
        <w:spacing w:before="0"/>
      </w:pPr>
      <w:r>
        <w:t xml:space="preserve">In questo processo di trasformazione digitale è essenziale che i servizi abbiano un chiaro valore per l’utente; questo obiettivo richiede un approccio multidisciplinare nell'adozione di metodologie e tecniche interoperabili per la progettazione di un servizio. La qualità finale, così come il costo complessivo del servizio, non può infatti prescindere da un’attenta analisi dei molteplici </w:t>
      </w:r>
      <w:r>
        <w:rPr>
          <w:i/>
        </w:rPr>
        <w:t>layer,</w:t>
      </w:r>
      <w:r>
        <w:t xml:space="preserve"> tecnologici e organizzativi interni, che strutturano l’intero processo della prestazione erogata, celandone la complessità sottostante. </w:t>
      </w:r>
    </w:p>
    <w:p w14:paraId="080D1894" w14:textId="77777777" w:rsidR="00C77C37" w:rsidRDefault="00204E95">
      <w:pPr>
        <w:spacing w:before="0"/>
      </w:pPr>
      <w:r>
        <w:t>Ciò implica anche un’adeguata semplificazione dei processi interni alle PA, coordinata dal Responsabile per la transizione al digitale, con il necessario supporto di efficienti procedure digitali.</w:t>
      </w:r>
    </w:p>
    <w:p w14:paraId="79748934" w14:textId="77777777" w:rsidR="00C77C37" w:rsidRDefault="00204E95">
      <w:pPr>
        <w:pStyle w:val="Titolo3"/>
      </w:pPr>
      <w:bookmarkStart w:id="46" w:name="_Toc127285875"/>
      <w:bookmarkStart w:id="47" w:name="_Toc127366227"/>
      <w:bookmarkStart w:id="48" w:name="_Toc157008337"/>
      <w:r>
        <w:t xml:space="preserve">Obiettivi </w:t>
      </w:r>
      <w:bookmarkEnd w:id="46"/>
      <w:r>
        <w:t>dell’amministrazione e risultati attesi</w:t>
      </w:r>
      <w:bookmarkEnd w:id="47"/>
      <w:bookmarkEnd w:id="48"/>
    </w:p>
    <w:p w14:paraId="417B9E6B" w14:textId="514A2A81" w:rsidR="00C77C37" w:rsidRDefault="00204E95" w:rsidP="00E67AFA">
      <w:pPr>
        <w:spacing w:before="0"/>
      </w:pPr>
      <w:r w:rsidRPr="00E67AFA">
        <w:rPr>
          <w:highlight w:val="yellow"/>
        </w:rPr>
        <w:t xml:space="preserve">Tutte le scelte effettuate </w:t>
      </w:r>
      <w:r w:rsidR="00E67AFA" w:rsidRPr="00E67AFA">
        <w:rPr>
          <w:highlight w:val="yellow"/>
        </w:rPr>
        <w:t>…………………………….</w:t>
      </w:r>
    </w:p>
    <w:p w14:paraId="3E79535A" w14:textId="0E2D6FE0" w:rsidR="00C77C37" w:rsidRPr="007457F1" w:rsidRDefault="00204E95">
      <w:pPr>
        <w:spacing w:before="0"/>
      </w:pPr>
      <w:r w:rsidRPr="007457F1">
        <w:t xml:space="preserve">Facendo propri gli obiettivi </w:t>
      </w:r>
      <w:r w:rsidR="007457F1" w:rsidRPr="007457F1">
        <w:t>del Regolamento</w:t>
      </w:r>
      <w:r w:rsidRPr="007457F1">
        <w:t xml:space="preserve">, entrato in vigore il 2 </w:t>
      </w:r>
      <w:r w:rsidRPr="00191D05">
        <w:t xml:space="preserve">ottobre 2018, nell’arco degli </w:t>
      </w:r>
      <w:r w:rsidRPr="007457F1">
        <w:t xml:space="preserve">anni 2022-2024 si </w:t>
      </w:r>
      <w:r w:rsidR="007457F1" w:rsidRPr="007457F1">
        <w:t>adopere</w:t>
      </w:r>
      <w:r w:rsidR="00191D05">
        <w:t xml:space="preserve">rà </w:t>
      </w:r>
      <w:r w:rsidR="00E67AFA">
        <w:t>…………………………..</w:t>
      </w:r>
    </w:p>
    <w:p w14:paraId="6278862D" w14:textId="77777777" w:rsidR="00C77C37" w:rsidRDefault="00204E95">
      <w:pPr>
        <w:pStyle w:val="Titolo3"/>
      </w:pPr>
      <w:bookmarkStart w:id="49" w:name="_Toc127366228"/>
      <w:bookmarkStart w:id="50" w:name="_Toc157008338"/>
      <w:r>
        <w:t>Linee di azione di interesse per l’amministrazione</w:t>
      </w:r>
      <w:bookmarkEnd w:id="49"/>
      <w:bookmarkEnd w:id="50"/>
    </w:p>
    <w:p w14:paraId="44C0510D" w14:textId="2C92B1AD" w:rsidR="00C77C37" w:rsidRDefault="00204E95">
      <w:pPr>
        <w:spacing w:before="0"/>
      </w:pPr>
      <w:r>
        <w:t xml:space="preserve">Con riferimento agli obiettivi </w:t>
      </w:r>
      <w:r w:rsidRPr="00191D05">
        <w:t xml:space="preserve">generali </w:t>
      </w:r>
      <w:r>
        <w:t xml:space="preserve">del Piano Nazionale per la Digitalizzazione ed a fronte delle linee di azioni definite per le Amministrazioni, in Allegato 3 sono riportate </w:t>
      </w:r>
      <w:r w:rsidR="00462A03">
        <w:t>tutte le Linee di Azione indirizzate dall’ente.</w:t>
      </w:r>
    </w:p>
    <w:p w14:paraId="20F23E5C" w14:textId="77777777" w:rsidR="00C77C37" w:rsidRDefault="00204E95">
      <w:pPr>
        <w:spacing w:before="0"/>
        <w:ind w:left="0" w:right="0"/>
        <w:jc w:val="left"/>
      </w:pPr>
      <w:r>
        <w:br w:type="page"/>
      </w:r>
    </w:p>
    <w:p w14:paraId="084F12B6" w14:textId="77777777" w:rsidR="00C77C37" w:rsidRDefault="00204E95">
      <w:pPr>
        <w:pStyle w:val="Titolo2"/>
      </w:pPr>
      <w:bookmarkStart w:id="51" w:name="_Toc127285876"/>
      <w:bookmarkStart w:id="52" w:name="_Toc127366234"/>
      <w:bookmarkStart w:id="53" w:name="_Toc93328330"/>
      <w:bookmarkStart w:id="54" w:name="_Toc157008339"/>
      <w:r>
        <w:lastRenderedPageBreak/>
        <w:t>Capitolo 2. Dati</w:t>
      </w:r>
      <w:bookmarkEnd w:id="51"/>
      <w:bookmarkEnd w:id="52"/>
      <w:bookmarkEnd w:id="53"/>
      <w:bookmarkEnd w:id="54"/>
    </w:p>
    <w:p w14:paraId="5C8D87F0" w14:textId="77777777" w:rsidR="00C77C37" w:rsidRDefault="00204E95">
      <w:pPr>
        <w:spacing w:before="0"/>
      </w:pPr>
      <w:r>
        <w:t>La valorizzazione del patrimonio informativo pubblico è un obiettivo strategico per la Pubblica Amministrazione per affrontare efficacemente le nuove sfide dell’economia basata sui dati (</w:t>
      </w:r>
      <w:r>
        <w:rPr>
          <w:i/>
        </w:rPr>
        <w:t>data economy</w:t>
      </w:r>
      <w:r>
        <w:t xml:space="preserve">), supportare gli obiettivi definiti dalla </w:t>
      </w:r>
      <w:hyperlink r:id="rId22">
        <w:r w:rsidRPr="00191D05">
          <w:rPr>
            <w:rStyle w:val="Collegamentoipertestuale"/>
            <w:color w:val="auto"/>
            <w:u w:val="none"/>
          </w:rPr>
          <w:t xml:space="preserve">Strategia europea in materia di dati, </w:t>
        </w:r>
      </w:hyperlink>
      <w:r w:rsidRPr="00191D05">
        <w:t>garantire</w:t>
      </w:r>
      <w:r>
        <w:t xml:space="preserve"> la creazione di servizi digitali a valore aggiunto per cittadini, imprese e, in generale, tutti i portatori di interesse e fornire ai </w:t>
      </w:r>
      <w:r>
        <w:rPr>
          <w:i/>
        </w:rPr>
        <w:t xml:space="preserve">policy maker </w:t>
      </w:r>
      <w:r>
        <w:t xml:space="preserve">strumenti </w:t>
      </w:r>
      <w:r>
        <w:rPr>
          <w:i/>
        </w:rPr>
        <w:t xml:space="preserve">data-driven </w:t>
      </w:r>
      <w:r>
        <w:t>da utilizzare nei processi decisionali e/o produttivi.</w:t>
      </w:r>
    </w:p>
    <w:p w14:paraId="3CA4E864" w14:textId="77777777" w:rsidR="00C77C37" w:rsidRDefault="00204E95">
      <w:pPr>
        <w:pStyle w:val="Titolo3"/>
      </w:pPr>
      <w:bookmarkStart w:id="55" w:name="_Toc157008340"/>
      <w:r>
        <w:t>Obiettivi dell’amministrazione e risultati attesi</w:t>
      </w:r>
      <w:bookmarkEnd w:id="55"/>
    </w:p>
    <w:p w14:paraId="1D7414E1" w14:textId="27759856" w:rsidR="00C77C37" w:rsidRDefault="00204E95">
      <w:pPr>
        <w:spacing w:before="0"/>
      </w:pPr>
      <w:r>
        <w:t xml:space="preserve">L’amministrazione, in linea con i principi enunciati e in continuità con le azioni avviate con i Piani precedenti, attraverso il presente Piano Triennale, mira </w:t>
      </w:r>
      <w:r w:rsidR="00E67AFA">
        <w:t>……………………</w:t>
      </w:r>
    </w:p>
    <w:p w14:paraId="0951B955" w14:textId="77777777" w:rsidR="00C77C37" w:rsidRDefault="00204E95">
      <w:pPr>
        <w:spacing w:before="0"/>
      </w:pPr>
      <w:r>
        <w:t>L’ente si adopererà affinché il suo fornitore adegui la piattaforma e la gestione dei dati di interesse secondo il paradigma degli Open Data e renda disponibili alle piattaforme nazionali le informazioni di interesse.</w:t>
      </w:r>
    </w:p>
    <w:p w14:paraId="1F3FB132" w14:textId="77777777" w:rsidR="00C77C37" w:rsidRDefault="00204E95">
      <w:pPr>
        <w:pStyle w:val="Titolo3"/>
      </w:pPr>
      <w:bookmarkStart w:id="56" w:name="_Toc93328332"/>
      <w:bookmarkStart w:id="57" w:name="_Toc157008341"/>
      <w:bookmarkEnd w:id="56"/>
      <w:r>
        <w:t>Linee di azione di interesse per l’amministrazione</w:t>
      </w:r>
      <w:bookmarkEnd w:id="57"/>
    </w:p>
    <w:p w14:paraId="697D914B" w14:textId="77777777" w:rsidR="00C77C37" w:rsidRDefault="00204E95">
      <w:pPr>
        <w:spacing w:before="0"/>
      </w:pPr>
      <w:r>
        <w:t xml:space="preserve">Con riferimento agli obiettivi </w:t>
      </w:r>
      <w:r w:rsidRPr="00191D05">
        <w:t xml:space="preserve">generali </w:t>
      </w:r>
      <w:r>
        <w:t>del Piano Nazionale per la Digitalizzazione ed a fronte delle linee di azioni definite per le Amministrazioni, in Allegato 3 sono riportate tutte le schede circa le Linee di Azione, qui di seguito ne è riportata una sintesi.</w:t>
      </w:r>
    </w:p>
    <w:p w14:paraId="113BEB0D" w14:textId="77777777" w:rsidR="00C77C37" w:rsidRDefault="00204E95">
      <w:pPr>
        <w:spacing w:before="0" w:after="60"/>
        <w:ind w:left="0" w:right="0"/>
        <w:jc w:val="left"/>
        <w:rPr>
          <w:rFonts w:ascii="Calibri Light" w:eastAsia="Calibri" w:hAnsi="Calibri Light" w:cs="Calibri Light"/>
          <w:color w:val="4472C4"/>
          <w:sz w:val="32"/>
          <w:szCs w:val="32"/>
        </w:rPr>
      </w:pPr>
      <w:bookmarkStart w:id="58" w:name="_Toc93328332_Copy_1"/>
      <w:bookmarkEnd w:id="58"/>
      <w:r>
        <w:br w:type="page"/>
      </w:r>
    </w:p>
    <w:p w14:paraId="42B50E6A" w14:textId="77777777" w:rsidR="00C77C37" w:rsidRDefault="00204E95">
      <w:pPr>
        <w:pStyle w:val="Titolo2"/>
      </w:pPr>
      <w:bookmarkStart w:id="59" w:name="_Toc93328346"/>
      <w:bookmarkStart w:id="60" w:name="_Toc127285877"/>
      <w:bookmarkStart w:id="61" w:name="_Toc127366240"/>
      <w:bookmarkStart w:id="62" w:name="_Toc157008342"/>
      <w:r>
        <w:lastRenderedPageBreak/>
        <w:t>Capitolo 3. Piattaforme</w:t>
      </w:r>
      <w:bookmarkEnd w:id="59"/>
      <w:bookmarkEnd w:id="60"/>
      <w:bookmarkEnd w:id="61"/>
      <w:bookmarkEnd w:id="62"/>
    </w:p>
    <w:p w14:paraId="36F6D74B" w14:textId="77777777" w:rsidR="00C77C37" w:rsidRDefault="00204E95">
      <w:pPr>
        <w:spacing w:before="0"/>
      </w:pPr>
      <w:r>
        <w:t>Il Piano Nazionale triennale per l’informatica nella Pubblica Amministrazione 2021-2023, coerentemente con quanto previsto dal Modello strategico di riferimento precedentemente descritto, riprende il concetto di piattaforme della Pubblica Amministrazione: piattaforme tecnologiche che offrono funzionalità fondamentali, trasversali, abilitanti e riusabili nella digitalizzazione dei processi e dei servizi della PA.</w:t>
      </w:r>
    </w:p>
    <w:p w14:paraId="36AE2978" w14:textId="77777777" w:rsidR="00C77C37" w:rsidRDefault="00204E95">
      <w:pPr>
        <w:spacing w:before="0"/>
      </w:pPr>
      <w:r>
        <w:t xml:space="preserve">Le Piattaforme attraverso i loro strumenti consentono di ridurre il carico di lavoro delle pubbliche amministrazioni, sollevandole dalla necessità di dover realizzare ex novo funzionalità, riducendo i tempi e i costi di attuazione dei servizi, garantendo maggiore sicurezza informatica ed alleggerendo la gestione dei servizi della Pubblica Amministrazione; e che quindi in ultima analisi nascono per supportare la razionalizzazione dei processi di </w:t>
      </w:r>
      <w:r>
        <w:rPr>
          <w:i/>
          <w:iCs/>
        </w:rPr>
        <w:t xml:space="preserve">back-office </w:t>
      </w:r>
      <w:r>
        <w:t xml:space="preserve">o di </w:t>
      </w:r>
      <w:r>
        <w:rPr>
          <w:i/>
          <w:iCs/>
        </w:rPr>
        <w:t xml:space="preserve">front-end </w:t>
      </w:r>
      <w:r>
        <w:t>della PA e sono disegnate per interoperare in modo organico in un’ottica di ecosistema.</w:t>
      </w:r>
    </w:p>
    <w:p w14:paraId="5279B689" w14:textId="77777777" w:rsidR="00C77C37" w:rsidRDefault="00204E95">
      <w:pPr>
        <w:spacing w:before="0"/>
      </w:pPr>
      <w:r>
        <w:t>Le piattaforme favoriscono la realizzazione di processi distribuiti e la standardizzazione dei flussi di dati tra amministrazioni, nonché la creazione e la fruizione di servizi digitali più semplici e omogenei.</w:t>
      </w:r>
    </w:p>
    <w:p w14:paraId="225C8CB9" w14:textId="77777777" w:rsidR="00C77C37" w:rsidRDefault="00204E95">
      <w:pPr>
        <w:spacing w:before="0"/>
      </w:pPr>
      <w:r>
        <w:t>Il concetto di piattaforma cui fa riferimento il Piano triennale comprende non solo piattaforme abilitanti a livello nazionale e di aggregazione territoriale, ma anche piattaforme che possono essere utili per più tipologie di amministrazioni o piattaforme che raccolgono e riconciliano i servizi delle amministrazioni, sui diversi livelli di competenza. È il caso, ad esempio, delle piattaforme di intermediazione tecnologica sui pagamenti disponibili sui territori regionali che si raccordano con la piattaforma nazionale pagoPA.</w:t>
      </w:r>
    </w:p>
    <w:p w14:paraId="538F5EB6" w14:textId="77777777" w:rsidR="00C77C37" w:rsidRDefault="00204E95">
      <w:pPr>
        <w:spacing w:before="0"/>
      </w:pPr>
      <w:r>
        <w:t>Nell’ultimo anno, le iniziative intraprese dai vari attori coinvolti nell’ambito del Piano, hanno favorito una importante accelerazione nella diffusione di alcune delle principali piattaforme abilitanti, in termini di adozione da parte delle PA e di fruizione da parte degli utenti. Tra queste la piattaforma dei pagamenti elettronici pagoPA, le piattaforme di identità digitale SPID e CIE, nonché la Piattaforma IO che offre un unico punto d’accesso, tramite un’applicazione mobile, ai servizi pubblici locali e nazionali.</w:t>
      </w:r>
    </w:p>
    <w:p w14:paraId="3E314D3A" w14:textId="77777777" w:rsidR="00C77C37" w:rsidRDefault="00204E95">
      <w:pPr>
        <w:spacing w:before="0"/>
      </w:pPr>
      <w:r>
        <w:t xml:space="preserve">Il Piano Nazionale, quindi, prosegue nel percorso di evoluzione e consolidamento delle piattaforme esistenti (es. SPID, pagoPA, AppIO, ANPR, CIE, FSE, NoiPA ecc.) e individua una serie di azioni volte </w:t>
      </w:r>
      <w:r>
        <w:lastRenderedPageBreak/>
        <w:t>a promuovere i processi di adozione, ad aggiungere nuove funzionalità e ad adeguare costantemente la tecnologia utilizzata e i livelli di sicurezza.</w:t>
      </w:r>
    </w:p>
    <w:p w14:paraId="046C6D23" w14:textId="77777777" w:rsidR="00C77C37" w:rsidRDefault="00204E95">
      <w:pPr>
        <w:spacing w:before="0"/>
      </w:pPr>
      <w:r>
        <w:t>Il Piano Nazionale promuove inoltre l’avvio di nuove piattaforme che consentono di razionalizzare i servizi per le amministrazioni ed i cittadini, quali:</w:t>
      </w:r>
    </w:p>
    <w:p w14:paraId="4EA37AA2" w14:textId="77777777" w:rsidR="00C77C37" w:rsidRDefault="00204E95">
      <w:pPr>
        <w:pStyle w:val="Paragrafoelenco"/>
        <w:numPr>
          <w:ilvl w:val="0"/>
          <w:numId w:val="6"/>
        </w:numPr>
      </w:pPr>
      <w:r>
        <w:t>INAD che gestisce l’Indice nazionale dei domicili digitali delle persone fisiche e degli altri enti di diritto privato non tenuti all’iscrizione in albi professionali o nel Registro Imprese, che assicura l’attuazione della Linea guida sul domicilio digitale del cittadino.</w:t>
      </w:r>
    </w:p>
    <w:p w14:paraId="70A4650D" w14:textId="77777777" w:rsidR="00C77C37" w:rsidRDefault="00204E95">
      <w:pPr>
        <w:pStyle w:val="Paragrafoelenco"/>
        <w:numPr>
          <w:ilvl w:val="0"/>
          <w:numId w:val="6"/>
        </w:numPr>
      </w:pPr>
      <w:r>
        <w:t>Piattaforma Notifiche Digitali che permette la notificazione e la consultazione digitale degli atti a valore legale. In particolare, la piattaforma ha l’obiettivo, per gli enti, di centralizzare la notificazione verso il cittadino o le imprese utilizzando il domicilio digitale eletto e creando un cassetto delle notifiche sempre accessibile (via mobile e via web o altri punti di accesso) con un risparmio di tempo e costi e per cittadini, imprese e PA.</w:t>
      </w:r>
    </w:p>
    <w:p w14:paraId="6DC59982" w14:textId="77777777" w:rsidR="00C77C37" w:rsidRDefault="00204E95">
      <w:pPr>
        <w:pStyle w:val="Paragrafoelenco"/>
        <w:numPr>
          <w:ilvl w:val="0"/>
          <w:numId w:val="6"/>
        </w:numPr>
      </w:pPr>
      <w:r>
        <w:t>Piattaforma Digitale Nazionale Dati (PDND) che permette di aprire canali tra le PA e, così, farle dialogare, realizzando l’interoperabilità, attraverso l’esposizione di API. La Piattaforma concretizza il principio “</w:t>
      </w:r>
      <w:r>
        <w:rPr>
          <w:i/>
          <w:iCs/>
        </w:rPr>
        <w:t>once-only</w:t>
      </w:r>
      <w:r>
        <w:t xml:space="preserve">” e in futuro, dovrà consentire anche l’analisi dei </w:t>
      </w:r>
      <w:r>
        <w:rPr>
          <w:i/>
          <w:iCs/>
        </w:rPr>
        <w:t xml:space="preserve">big data </w:t>
      </w:r>
      <w:r>
        <w:t xml:space="preserve">prodotti dalle amministrazioni, resi disponibili nel </w:t>
      </w:r>
      <w:r>
        <w:rPr>
          <w:i/>
          <w:iCs/>
        </w:rPr>
        <w:t>data lake</w:t>
      </w:r>
      <w:r>
        <w:t xml:space="preserve">, per l’elaborazione di politiche </w:t>
      </w:r>
      <w:r>
        <w:rPr>
          <w:i/>
          <w:iCs/>
        </w:rPr>
        <w:t>data-driven</w:t>
      </w:r>
      <w:r>
        <w:t>.</w:t>
      </w:r>
    </w:p>
    <w:p w14:paraId="509EFEBF" w14:textId="77777777" w:rsidR="00C77C37" w:rsidRDefault="00204E95">
      <w:pPr>
        <w:pStyle w:val="Paragrafoelenco"/>
        <w:numPr>
          <w:ilvl w:val="0"/>
          <w:numId w:val="6"/>
        </w:numPr>
      </w:pPr>
      <w:r>
        <w:t>Piattaforma Gestione Deleghe (SDG) che consentirà ai cittadini di delegare altra persona fisica per agire presso le pubbliche amministrazioni attraverso una delega.</w:t>
      </w:r>
    </w:p>
    <w:p w14:paraId="7E9FBC3A" w14:textId="77777777" w:rsidR="00C77C37" w:rsidRDefault="00204E95">
      <w:pPr>
        <w:spacing w:before="0"/>
      </w:pPr>
      <w:r>
        <w:t xml:space="preserve">Ognuna delle piattaforme di seguito indicate è caratterizzata dalla presenza di uno o più </w:t>
      </w:r>
      <w:r>
        <w:rPr>
          <w:i/>
          <w:iCs/>
        </w:rPr>
        <w:t xml:space="preserve">owner </w:t>
      </w:r>
      <w:r>
        <w:t>a livello nazionale o regionale e di diversi soggetti di riferimento che ne curano lo sviluppo, l’evoluzione e la gestione.</w:t>
      </w:r>
    </w:p>
    <w:p w14:paraId="5104EAEA" w14:textId="77777777" w:rsidR="00C77C37" w:rsidRDefault="00204E95">
      <w:pPr>
        <w:pStyle w:val="Titolo3"/>
      </w:pPr>
      <w:bookmarkStart w:id="63" w:name="_Toc93328348"/>
      <w:bookmarkStart w:id="64" w:name="_Toc157008343"/>
      <w:bookmarkEnd w:id="63"/>
      <w:r>
        <w:t>Obiettivi dell’amministrazione e risultati attesi</w:t>
      </w:r>
      <w:bookmarkEnd w:id="64"/>
    </w:p>
    <w:p w14:paraId="44B4F7F0" w14:textId="5ED335A8" w:rsidR="00C77C37" w:rsidRDefault="00204E95">
      <w:pPr>
        <w:spacing w:before="0"/>
      </w:pPr>
      <w:r>
        <w:t xml:space="preserve">Con riferimento agli obiettivi </w:t>
      </w:r>
      <w:r w:rsidRPr="00191D05">
        <w:t xml:space="preserve">generali </w:t>
      </w:r>
      <w:r>
        <w:t>del Piano Nazionale per la Digitalizzazione ed a fronte dei risultati attesi questa Amministrazione, ha previsto l’utilizzo e l’integrazione con le piattaforme attualmente disponibili (anni 2022 e 2023), e chiederà al proprio fornitore di integrare le piattaforme che saranno rese disponibili in futuro (anno 2024 e successivi).</w:t>
      </w:r>
    </w:p>
    <w:p w14:paraId="0B08B9FB" w14:textId="77777777" w:rsidR="00E67AFA" w:rsidRDefault="00E67AFA">
      <w:pPr>
        <w:spacing w:before="0"/>
      </w:pPr>
    </w:p>
    <w:p w14:paraId="13711074" w14:textId="4BE6DA91" w:rsidR="00E67AFA" w:rsidRDefault="00E67AFA">
      <w:pPr>
        <w:spacing w:before="0"/>
      </w:pPr>
      <w:r w:rsidRPr="00E67AFA">
        <w:rPr>
          <w:highlight w:val="yellow"/>
        </w:rPr>
        <w:t>In particolare l’Ente ha ………………………..</w:t>
      </w:r>
    </w:p>
    <w:p w14:paraId="6D987F5C" w14:textId="77777777" w:rsidR="00C77C37" w:rsidRDefault="00204E95">
      <w:pPr>
        <w:pStyle w:val="Titolo3"/>
      </w:pPr>
      <w:bookmarkStart w:id="65" w:name="_Toc157008344"/>
      <w:r>
        <w:lastRenderedPageBreak/>
        <w:t>Linee di azione di interesse per l’amministrazione</w:t>
      </w:r>
      <w:bookmarkEnd w:id="65"/>
    </w:p>
    <w:p w14:paraId="0E5AF013" w14:textId="1336473A" w:rsidR="00C77C37" w:rsidRDefault="00204E95">
      <w:pPr>
        <w:spacing w:before="0"/>
      </w:pPr>
      <w:r>
        <w:t xml:space="preserve">Con riferimento agli obiettivi </w:t>
      </w:r>
      <w:r w:rsidRPr="00191D05">
        <w:t xml:space="preserve">generali </w:t>
      </w:r>
      <w:r>
        <w:t xml:space="preserve">del Piano Nazionale per la Digitalizzazione ed a fronte delle linee di azioni definite per le Amministrazioni, in Allegato 3 sono riportate </w:t>
      </w:r>
      <w:r w:rsidR="00462A03">
        <w:t>tutte le Linee di Azione indirizzate dall’ente.</w:t>
      </w:r>
    </w:p>
    <w:p w14:paraId="51B8C1EC" w14:textId="77777777" w:rsidR="00C77C37" w:rsidRDefault="00204E95">
      <w:pPr>
        <w:spacing w:before="0"/>
        <w:ind w:left="0" w:right="0"/>
        <w:jc w:val="left"/>
      </w:pPr>
      <w:r>
        <w:br w:type="page"/>
      </w:r>
    </w:p>
    <w:p w14:paraId="37F45D57" w14:textId="77777777" w:rsidR="00C77C37" w:rsidRDefault="00204E95">
      <w:pPr>
        <w:pStyle w:val="Titolo2"/>
      </w:pPr>
      <w:bookmarkStart w:id="66" w:name="_Toc93328348_Copy_1"/>
      <w:bookmarkStart w:id="67" w:name="_Toc93328361"/>
      <w:bookmarkStart w:id="68" w:name="_Toc127285878"/>
      <w:bookmarkStart w:id="69" w:name="_Toc127366247"/>
      <w:bookmarkStart w:id="70" w:name="_Toc157008345"/>
      <w:bookmarkEnd w:id="66"/>
      <w:r>
        <w:lastRenderedPageBreak/>
        <w:t>Capitolo 4. Infrastrutture</w:t>
      </w:r>
      <w:bookmarkEnd w:id="67"/>
      <w:bookmarkEnd w:id="68"/>
      <w:bookmarkEnd w:id="69"/>
      <w:bookmarkEnd w:id="70"/>
    </w:p>
    <w:p w14:paraId="34ADADF2" w14:textId="77777777" w:rsidR="00C77C37" w:rsidRDefault="00204E95">
      <w:pPr>
        <w:spacing w:before="0"/>
      </w:pPr>
      <w:r>
        <w:t>Lo sviluppo delle infrastrutture digitali è parte integrante della strategia di modernizzazione del settore pubblico poiché queste sostengono l’erogazione sia di servizi pubblici a cittadini e imprese sia di servizi essenziali per il Paese.</w:t>
      </w:r>
    </w:p>
    <w:p w14:paraId="05F6E081" w14:textId="77777777" w:rsidR="00C77C37" w:rsidRDefault="00204E95">
      <w:pPr>
        <w:spacing w:before="0"/>
      </w:pPr>
      <w:r>
        <w:t xml:space="preserve">Tali infrastrutture devono essere affidabili, sicure, energeticamente efficienti ed economicamente sostenibili. </w:t>
      </w:r>
    </w:p>
    <w:p w14:paraId="6B0F6231" w14:textId="77777777" w:rsidR="00C77C37" w:rsidRDefault="00204E95">
      <w:pPr>
        <w:spacing w:before="0"/>
      </w:pPr>
      <w:r>
        <w:t>L’evoluzione tecnologica espone, tuttavia, i sistemi a nuovi e diversi rischi, anche con riguardo alla tutela dei dati personali. L’obiettivo di garantire una maggiore efficienza dei sistemi non può essere disgiunto dall’obiettivo di garantire contestualmente un elevato livello di sicurezza delle reti e dei sistemi informativi utilizzati dalla Pubblica amministrazione.</w:t>
      </w:r>
    </w:p>
    <w:p w14:paraId="4836EDE2" w14:textId="77777777" w:rsidR="00C77C37" w:rsidRDefault="00204E95">
      <w:pPr>
        <w:spacing w:before="0"/>
      </w:pPr>
      <w:r>
        <w:t>Il Dipartimento per la Trasformazione Digitale della Presidenza del Consiglio dei ministri promuove lo sviluppo di un’infrastruttura ad alta affidabilità localizzata sul territorio nazionale, anche detta Polo Strategico Nazionale (PSN), per la razionalizzazione e il consolidamento dei Centri per l'elaborazione delle informazioni (CED) destinata a tutte le pubbliche amministrazioni:</w:t>
      </w:r>
    </w:p>
    <w:p w14:paraId="7E50C925" w14:textId="77777777" w:rsidR="00C77C37" w:rsidRDefault="00204E95">
      <w:pPr>
        <w:pStyle w:val="Paragrafoelenco"/>
        <w:numPr>
          <w:ilvl w:val="0"/>
          <w:numId w:val="32"/>
        </w:numPr>
      </w:pPr>
      <w:r>
        <w:t xml:space="preserve">le amministrazioni locali individuate ai sensi dell'articolo 1, comma 3, della legge 31 dicembre 2009, n. 196, nel rispetto dei principi di efficienza, efficacia ed economicità dell’azione amministrativa, migrano i loro Centri per l'elaborazione delle informazioni (CED) e i relativi sistemi informatici, privi dei requisiti fissati dalla Circolare AGID 1/2019 e, successivamente, dal regolamento cloud e infrastrutture, verso l'infrastruttura PSN o verso altra infrastruttura della PA già esistente in possesso dei requisiti fissati dallo stesso regolamento cloud e infrastrutture. </w:t>
      </w:r>
    </w:p>
    <w:p w14:paraId="7C418CAB" w14:textId="77777777" w:rsidR="00C77C37" w:rsidRDefault="00204E95">
      <w:pPr>
        <w:pStyle w:val="Paragrafoelenco"/>
        <w:numPr>
          <w:ilvl w:val="0"/>
          <w:numId w:val="32"/>
        </w:numPr>
      </w:pPr>
      <w:r>
        <w:t>le amministrazioni locali, in alternativa, possono migrare i propri servizi verso soluzioni cloud qualificate nel rispetto di quanto previsto dalle Circolari AGID n. 2 e n. 3 del 2018 e, successivamente, dal regolamento cloud e infrastrutture;</w:t>
      </w:r>
    </w:p>
    <w:p w14:paraId="79BE829D" w14:textId="77777777" w:rsidR="00C77C37" w:rsidRDefault="00204E95">
      <w:pPr>
        <w:pStyle w:val="Paragrafoelenco"/>
        <w:numPr>
          <w:ilvl w:val="0"/>
          <w:numId w:val="32"/>
        </w:numPr>
      </w:pPr>
      <w:r>
        <w:t>le amministrazioni non possono investire nella costruzione di nuovi data center per ridurre la frammentazione delle risorse e la proliferazione incontrollata di infrastrutture con conseguente moltiplicazione dei costi. È ammesso il consolidamento dei data center nel rispetto di quanto previsto dall'articolo 33-septies del DL 179/2012 e dal Regolamento di cui al comma 4 del citato articolo 33-septies.</w:t>
      </w:r>
    </w:p>
    <w:p w14:paraId="1CA5C30A" w14:textId="77777777" w:rsidR="00C77C37" w:rsidRPr="008B3E59" w:rsidRDefault="00204E95">
      <w:pPr>
        <w:spacing w:before="0"/>
        <w:rPr>
          <w:color w:val="000000" w:themeColor="text1"/>
        </w:rPr>
      </w:pPr>
      <w:r>
        <w:lastRenderedPageBreak/>
        <w:t xml:space="preserve">Nel delineare il processo di razionalizzazione delle infrastrutture è necessario considerare che, nel settembre 2021, il Dipartimento per la Trasformazione Digitale e l’Agenzia per la cybersicurezza nazionale hanno pubblicato il documento di indirizzo strategico sul </w:t>
      </w:r>
      <w:r>
        <w:rPr>
          <w:i/>
          <w:iCs/>
        </w:rPr>
        <w:t xml:space="preserve">cloud </w:t>
      </w:r>
      <w:r w:rsidRPr="008B3E59">
        <w:rPr>
          <w:color w:val="000000" w:themeColor="text1"/>
        </w:rPr>
        <w:t xml:space="preserve">intitolato </w:t>
      </w:r>
      <w:hyperlink r:id="rId23">
        <w:r w:rsidRPr="008B3E59">
          <w:rPr>
            <w:color w:val="000000" w:themeColor="text1"/>
            <w:u w:val="single" w:color="DCA10D"/>
          </w:rPr>
          <w:t>“Strategia Cloud</w:t>
        </w:r>
      </w:hyperlink>
      <w:r w:rsidRPr="008B3E59">
        <w:rPr>
          <w:color w:val="000000" w:themeColor="text1"/>
        </w:rPr>
        <w:t xml:space="preserve"> </w:t>
      </w:r>
      <w:hyperlink r:id="rId24">
        <w:r w:rsidRPr="008B3E59">
          <w:rPr>
            <w:color w:val="000000" w:themeColor="text1"/>
            <w:u w:val="single" w:color="DCA10D"/>
          </w:rPr>
          <w:t>Italia”</w:t>
        </w:r>
      </w:hyperlink>
    </w:p>
    <w:p w14:paraId="1E380FCE" w14:textId="77777777" w:rsidR="00C77C37" w:rsidRDefault="00204E95">
      <w:pPr>
        <w:spacing w:before="0"/>
      </w:pPr>
      <w:r>
        <w:t>Le amministrazioni che devono attuare il processo di migrazione potranno avvalersi dei seguenti strumenti:</w:t>
      </w:r>
    </w:p>
    <w:p w14:paraId="67C31C03" w14:textId="77777777" w:rsidR="00C77C37" w:rsidRDefault="00204E95">
      <w:pPr>
        <w:pStyle w:val="Paragrafoelenco"/>
        <w:numPr>
          <w:ilvl w:val="0"/>
          <w:numId w:val="33"/>
        </w:numPr>
        <w:ind w:left="1276" w:hanging="774"/>
      </w:pPr>
      <w:r>
        <w:t xml:space="preserve">i finanziamenti previsti nel PNRR per un ammontare complessivo di 1,9 miliardi di euro, nello specifico con i due investimenti che mirano all’adozione dell’approccio </w:t>
      </w:r>
      <w:r>
        <w:rPr>
          <w:i/>
          <w:iCs/>
        </w:rPr>
        <w:t xml:space="preserve">Cloud first </w:t>
      </w:r>
      <w:r>
        <w:t>da parte della PA, ovvero “Investimento 1.1: Infrastrutture digitali” e “Investimento 1.2: Abilitazione e facilitazione migrazione al cloud”;</w:t>
      </w:r>
    </w:p>
    <w:p w14:paraId="4316988C" w14:textId="77777777" w:rsidR="00C77C37" w:rsidRDefault="00204E95">
      <w:pPr>
        <w:pStyle w:val="Paragrafoelenco"/>
        <w:numPr>
          <w:ilvl w:val="0"/>
          <w:numId w:val="33"/>
        </w:numPr>
        <w:ind w:left="1276" w:hanging="774"/>
      </w:pPr>
      <w:r w:rsidRPr="00191D05">
        <w:t xml:space="preserve">il </w:t>
      </w:r>
      <w:hyperlink r:id="rId25">
        <w:r w:rsidRPr="00191D05">
          <w:t xml:space="preserve">Manuale di abilitazione al Cloud </w:t>
        </w:r>
      </w:hyperlink>
      <w:r w:rsidRPr="00191D05">
        <w:t xml:space="preserve">nell’ambito </w:t>
      </w:r>
      <w:r>
        <w:t xml:space="preserve">del Programma nazionale di abilitazione al </w:t>
      </w:r>
      <w:r>
        <w:rPr>
          <w:i/>
          <w:iCs/>
        </w:rPr>
        <w:t>cloud</w:t>
      </w:r>
      <w:r>
        <w:t>;</w:t>
      </w:r>
    </w:p>
    <w:p w14:paraId="54E71D8E" w14:textId="77777777" w:rsidR="00C77C37" w:rsidRPr="00191D05" w:rsidRDefault="00204E95">
      <w:pPr>
        <w:pStyle w:val="Paragrafoelenco"/>
        <w:numPr>
          <w:ilvl w:val="0"/>
          <w:numId w:val="33"/>
        </w:numPr>
        <w:ind w:left="1276" w:hanging="774"/>
      </w:pPr>
      <w:r>
        <w:t xml:space="preserve">le Gare strategiche ICT di Consip (es. Accordo Quadro Public Cloud) e gli altri strumenti Consip (MEPA e SDAPA). In particolare, l’Accordo Quadro </w:t>
      </w:r>
      <w:r>
        <w:rPr>
          <w:i/>
          <w:iCs/>
        </w:rPr>
        <w:t xml:space="preserve">Public Cloud </w:t>
      </w:r>
      <w:r>
        <w:t xml:space="preserve">consentirà alle PA di ridurre, in modo significativo, i tempi di approvvigionamento di servizi </w:t>
      </w:r>
      <w:r>
        <w:rPr>
          <w:i/>
          <w:iCs/>
        </w:rPr>
        <w:t xml:space="preserve">public cloud IaaS </w:t>
      </w:r>
      <w:r>
        <w:t xml:space="preserve">e </w:t>
      </w:r>
      <w:r>
        <w:rPr>
          <w:i/>
          <w:iCs/>
        </w:rPr>
        <w:t xml:space="preserve">PaaS </w:t>
      </w:r>
      <w:r>
        <w:t xml:space="preserve">e di servizi professionali per le PA che necessitano di reperire sul mercato le competenze necessarie per attuare quanto previsto nel manuale di </w:t>
      </w:r>
      <w:r w:rsidRPr="00191D05">
        <w:t xml:space="preserve">abilitazione al </w:t>
      </w:r>
      <w:r w:rsidRPr="00191D05">
        <w:rPr>
          <w:i/>
          <w:iCs/>
        </w:rPr>
        <w:t>cloud</w:t>
      </w:r>
      <w:r w:rsidRPr="00191D05">
        <w:t xml:space="preserve">. È possibile consultare lo stato di attivazione di questa e di altre gare strategiche ICT attraverso la pagina pubblicata da Consip sul sito </w:t>
      </w:r>
      <w:hyperlink r:id="rId26">
        <w:r w:rsidRPr="00191D05">
          <w:rPr>
            <w:u w:val="single" w:color="DCA10D"/>
          </w:rPr>
          <w:t>Acquisti in Rete PA</w:t>
        </w:r>
      </w:hyperlink>
      <w:r w:rsidRPr="00191D05">
        <w:t>.</w:t>
      </w:r>
    </w:p>
    <w:p w14:paraId="4165C39A" w14:textId="77777777" w:rsidR="00C77C37" w:rsidRDefault="00204E95">
      <w:pPr>
        <w:spacing w:before="0"/>
      </w:pPr>
      <w:r>
        <w:t xml:space="preserve">Per realizzare un’adeguata evoluzione tecnologica e di supportare il paradigma </w:t>
      </w:r>
      <w:r>
        <w:rPr>
          <w:i/>
          <w:iCs/>
        </w:rPr>
        <w:t>cloud</w:t>
      </w:r>
      <w:r>
        <w:t>, favorendo altresì la razionalizzazione delle spese per la connettività delle pubbliche amministrazioni, è necessario anche aggiornare il modello di connettività. Tale aggiornamento, inoltre, renderà disponibili alle Pubbliche Amministrazioni servizi di connettività avanzati, atti a potenziare le prestazioni delle reti delle PA e a soddisfare la più recente esigenza di garantire lo svolgimento del lavoro agile in sicurezza.</w:t>
      </w:r>
    </w:p>
    <w:p w14:paraId="780DBDD0" w14:textId="77777777" w:rsidR="00C77C37" w:rsidRDefault="00204E95">
      <w:pPr>
        <w:spacing w:before="0" w:after="60"/>
        <w:ind w:left="0" w:right="0"/>
        <w:jc w:val="left"/>
      </w:pPr>
      <w:bookmarkStart w:id="71" w:name="_Toc93328363"/>
      <w:bookmarkEnd w:id="71"/>
      <w:r>
        <w:br w:type="page"/>
      </w:r>
    </w:p>
    <w:p w14:paraId="4237D0B8" w14:textId="77777777" w:rsidR="00C77C37" w:rsidRDefault="00204E95">
      <w:pPr>
        <w:pStyle w:val="Titolo3"/>
      </w:pPr>
      <w:bookmarkStart w:id="72" w:name="_Toc127366250"/>
      <w:bookmarkStart w:id="73" w:name="_Toc93328363_Copy_1"/>
      <w:bookmarkStart w:id="74" w:name="_Toc157008346"/>
      <w:bookmarkEnd w:id="72"/>
      <w:bookmarkEnd w:id="73"/>
      <w:r>
        <w:lastRenderedPageBreak/>
        <w:t>Obiettivi dell’amministrazione e risultati attesi</w:t>
      </w:r>
      <w:bookmarkEnd w:id="74"/>
    </w:p>
    <w:p w14:paraId="724EFBEE" w14:textId="77777777" w:rsidR="00C77C37" w:rsidRDefault="00204E95">
      <w:pPr>
        <w:spacing w:before="0"/>
      </w:pPr>
      <w:r>
        <w:t>Le azioni definite dall’Amministrazione sono coerenti con gli obiettivi nel Piano Nazionale di Ripresa e Resilienza (PNRR) condiviso dal Governo con la Commissione Europea, nello specifico con i due investimenti che mirano all’adozione dell’approccio Cloud first, ovvero “Investimento 1.1: Infrastrutture digitali” e “Investimento 1.2: Abilitazione e facilitazione migrazione al cloud”.</w:t>
      </w:r>
    </w:p>
    <w:p w14:paraId="5B23D88A" w14:textId="32AC33D4" w:rsidR="00C77C37" w:rsidRDefault="00204E95">
      <w:pPr>
        <w:spacing w:before="0"/>
      </w:pPr>
      <w:r>
        <w:t xml:space="preserve">L’Ente ha scelto la soluzione, prevista dal Dipartimento, che le permettesse in tempi brevi e con un rapporto costi/benefici favorevole, di essere operativa nell’arco di 6 mesi (ultimo semestre 2022) con sistemi in Cloud presso il proprio fornitore </w:t>
      </w:r>
      <w:r w:rsidRPr="00E67AFA">
        <w:rPr>
          <w:highlight w:val="yellow"/>
        </w:rPr>
        <w:t xml:space="preserve">strategico </w:t>
      </w:r>
      <w:r w:rsidR="00E67AFA" w:rsidRPr="00E67AFA">
        <w:rPr>
          <w:highlight w:val="yellow"/>
        </w:rPr>
        <w:t>…………………………….</w:t>
      </w:r>
    </w:p>
    <w:p w14:paraId="09370260" w14:textId="77777777" w:rsidR="00C77C37" w:rsidRDefault="00204E95">
      <w:pPr>
        <w:spacing w:before="0"/>
      </w:pPr>
      <w:r>
        <w:t>Questa Amministrazione ha, inoltre, Interesse a migrare verso Piattaforme Nazionali ed previsto uno studio ed analisi per la migrazione verso queste ultime, quando saranno pienamente disponibili, ma non prima del 2025.</w:t>
      </w:r>
    </w:p>
    <w:p w14:paraId="1E62C0FE" w14:textId="77777777" w:rsidR="00C77C37" w:rsidRDefault="00C77C37">
      <w:pPr>
        <w:spacing w:before="0"/>
      </w:pPr>
    </w:p>
    <w:p w14:paraId="4D9298E1" w14:textId="77777777" w:rsidR="00C77C37" w:rsidRDefault="00204E95">
      <w:pPr>
        <w:pStyle w:val="Titolo3"/>
      </w:pPr>
      <w:bookmarkStart w:id="75" w:name="_Toc157008347"/>
      <w:r>
        <w:t>Linee di azione di interesse per l’amministrazione</w:t>
      </w:r>
      <w:bookmarkEnd w:id="75"/>
    </w:p>
    <w:p w14:paraId="0BFFC9F5" w14:textId="4082B720" w:rsidR="00C77C37" w:rsidRDefault="00204E95">
      <w:pPr>
        <w:spacing w:before="0"/>
      </w:pPr>
      <w:r>
        <w:t xml:space="preserve">Con riferimento </w:t>
      </w:r>
      <w:r w:rsidRPr="00191D05">
        <w:t xml:space="preserve">agli obiettivi generali del Piano Nazionale </w:t>
      </w:r>
      <w:r>
        <w:t xml:space="preserve">per la Digitalizzazione ed a fronte delle linee di azioni definite per le Amministrazioni, in Allegato 3 sono riportate </w:t>
      </w:r>
      <w:r w:rsidR="00462A03">
        <w:t>tutte le Linee di Azione indirizzate dall’ente.</w:t>
      </w:r>
    </w:p>
    <w:p w14:paraId="6EF363CA" w14:textId="77777777" w:rsidR="00C77C37" w:rsidRDefault="00204E95">
      <w:pPr>
        <w:pStyle w:val="Titolo4"/>
      </w:pPr>
      <w:bookmarkStart w:id="76" w:name="_Toc127366250_Copy_1"/>
      <w:bookmarkEnd w:id="76"/>
      <w:r>
        <w:br w:type="page"/>
      </w:r>
    </w:p>
    <w:p w14:paraId="0A482789" w14:textId="77777777" w:rsidR="00C77C37" w:rsidRDefault="00204E95">
      <w:pPr>
        <w:pStyle w:val="Titolo2"/>
      </w:pPr>
      <w:bookmarkStart w:id="77" w:name="_Toc93328373"/>
      <w:bookmarkStart w:id="78" w:name="_Toc127285879"/>
      <w:bookmarkStart w:id="79" w:name="_Toc127366253"/>
      <w:bookmarkStart w:id="80" w:name="_Toc157008348"/>
      <w:r>
        <w:lastRenderedPageBreak/>
        <w:t>Capitolo 5. Interoperabilità</w:t>
      </w:r>
      <w:bookmarkEnd w:id="77"/>
      <w:bookmarkEnd w:id="78"/>
      <w:bookmarkEnd w:id="79"/>
      <w:bookmarkEnd w:id="80"/>
    </w:p>
    <w:p w14:paraId="0D215CA8" w14:textId="77777777" w:rsidR="00C77C37" w:rsidRDefault="00204E95">
      <w:pPr>
        <w:spacing w:before="0"/>
      </w:pPr>
      <w:r>
        <w:t>L’interoperabilità permette la collaborazione e l'interazione telematica tra pubbliche</w:t>
      </w:r>
    </w:p>
    <w:p w14:paraId="53EC611D" w14:textId="77777777" w:rsidR="00C77C37" w:rsidRDefault="00204E95">
      <w:pPr>
        <w:spacing w:before="0"/>
      </w:pPr>
      <w:r>
        <w:t>amministrazioni, cittadini e imprese, favorendo l’attuazione del principio once only e recependo le indicazioni dell'European Interoperability Framework.</w:t>
      </w:r>
    </w:p>
    <w:p w14:paraId="2E566556" w14:textId="77777777" w:rsidR="00C77C37" w:rsidRDefault="00204E95">
      <w:pPr>
        <w:spacing w:before="0"/>
      </w:pPr>
      <w:r>
        <w:t>La Linea Guida sul Modello di Interoperabilità per la PA (di seguito Linea Guida) individua gli</w:t>
      </w:r>
    </w:p>
    <w:p w14:paraId="437A58E0" w14:textId="77777777" w:rsidR="00C77C37" w:rsidRDefault="00204E95">
      <w:pPr>
        <w:spacing w:before="0"/>
      </w:pPr>
      <w:r>
        <w:t>standard e le loro modalità di utilizzo per l’implementazione delle API favorendo:</w:t>
      </w:r>
    </w:p>
    <w:p w14:paraId="47B071E6" w14:textId="77777777" w:rsidR="00C77C37" w:rsidRDefault="00204E95">
      <w:pPr>
        <w:pStyle w:val="Paragrafoelenco"/>
        <w:numPr>
          <w:ilvl w:val="0"/>
          <w:numId w:val="14"/>
        </w:numPr>
      </w:pPr>
      <w:r>
        <w:t>l’aumento dell'interoperabilità tra PA e tra queste e cittadini/imprese;</w:t>
      </w:r>
    </w:p>
    <w:p w14:paraId="570E6D4E" w14:textId="77777777" w:rsidR="00C77C37" w:rsidRDefault="00204E95">
      <w:pPr>
        <w:pStyle w:val="Paragrafoelenco"/>
        <w:numPr>
          <w:ilvl w:val="0"/>
          <w:numId w:val="14"/>
        </w:numPr>
      </w:pPr>
      <w:r>
        <w:t>la qualità e la sicurezza delle soluzioni realizzate;</w:t>
      </w:r>
    </w:p>
    <w:p w14:paraId="5F8420A0" w14:textId="77777777" w:rsidR="00C77C37" w:rsidRDefault="00204E95">
      <w:pPr>
        <w:pStyle w:val="Paragrafoelenco"/>
        <w:numPr>
          <w:ilvl w:val="0"/>
          <w:numId w:val="14"/>
        </w:numPr>
      </w:pPr>
      <w:r>
        <w:t>la de-duplicazione e la co-creazione delle API.</w:t>
      </w:r>
    </w:p>
    <w:p w14:paraId="6AE48B6A" w14:textId="77777777" w:rsidR="00C77C37" w:rsidRDefault="00204E95">
      <w:pPr>
        <w:spacing w:before="0"/>
      </w:pPr>
      <w:r>
        <w:t>La Linea Guida individua le tecnologie SOAP e REST da utilizzare per l’implementazione delle API e, per esse, le modalità di loro utilizzo attraverso l’individuazione di pattern e profili utilizzati dalle PA.</w:t>
      </w:r>
    </w:p>
    <w:p w14:paraId="5CC553EC" w14:textId="77777777" w:rsidR="00C77C37" w:rsidRDefault="00204E95">
      <w:pPr>
        <w:spacing w:before="0"/>
      </w:pPr>
      <w:r>
        <w:t>La Linea Guida è periodicamente aggiornata assicurando il confronto continuo con:</w:t>
      </w:r>
    </w:p>
    <w:p w14:paraId="19316CAA" w14:textId="77777777" w:rsidR="00C77C37" w:rsidRDefault="00204E95">
      <w:pPr>
        <w:pStyle w:val="Paragrafoelenco"/>
        <w:numPr>
          <w:ilvl w:val="0"/>
          <w:numId w:val="11"/>
        </w:numPr>
      </w:pPr>
      <w:r>
        <w:t>le PA, per determinare le esigenze operative delle stesse;</w:t>
      </w:r>
    </w:p>
    <w:p w14:paraId="182266C4" w14:textId="77777777" w:rsidR="00C77C37" w:rsidRDefault="00204E95">
      <w:pPr>
        <w:pStyle w:val="Paragrafoelenco"/>
        <w:numPr>
          <w:ilvl w:val="0"/>
          <w:numId w:val="11"/>
        </w:numPr>
      </w:pPr>
      <w:r>
        <w:t>i Paesi Membri dell’Unione Europea e gli organismi di standardizzazione, per agevolare la realizzazione di servizi digitali transfrontalieri.</w:t>
      </w:r>
    </w:p>
    <w:p w14:paraId="7ACD18BC" w14:textId="77777777" w:rsidR="00C77C37" w:rsidRDefault="00204E95">
      <w:pPr>
        <w:spacing w:before="0"/>
      </w:pPr>
      <w:r>
        <w:t>Al fine di favorire la conoscenza e l’utilizzo del patrimonio informativo detenuto dalle pubbliche amministrazioni e dai gestori di servizi pubblici, nonché la condivisione dei dati che hanno diritto ad accedervi, la Piattaforma Digitale Nazionale Dati rende possibile l’interoperabilità dei sistemi informativi mediante l'accreditamento, l'identificazione e la gestione dei livelli di autorizzazione dei soggetti abilitati ad operare sulla stessa, nonché la raccolta e conservazione delle informazioni relative agli accessi e alle transazioni effettuate suo tramite.</w:t>
      </w:r>
    </w:p>
    <w:p w14:paraId="293AD298" w14:textId="77777777" w:rsidR="00C77C37" w:rsidRDefault="00204E95">
      <w:pPr>
        <w:spacing w:before="0"/>
      </w:pPr>
      <w:r>
        <w:t>Le PA nell’attuazione della Linea Guida devono esporre i propri servizi tramite API conformi e registrarle sul catalogo delle API (di seguito Catalogo) reso disponibile dalla Piattaforma Digitale Nazionale Dati, la componente unica e centralizzata realizzata per favorire la ricerca e l’utilizzo delle API. Una PA può delegare la gestione delle API all’interno del Catalogo ad un’altra Amministrazione, denominata Ente Capofila, relativamente a specifici contesti territoriali e/o ambiti tematici.</w:t>
      </w:r>
    </w:p>
    <w:p w14:paraId="50ADD314" w14:textId="77777777" w:rsidR="00C77C37" w:rsidRDefault="00204E95">
      <w:pPr>
        <w:spacing w:before="0"/>
      </w:pPr>
      <w:r>
        <w:lastRenderedPageBreak/>
        <w:t>Allo scopo di sviluppare servizi integrati e centrati sulle esigenze di cittadini ed imprese, il Dipartimento per la Trasformazione Digitale supporta le PA nell’adozione del Modello di Interoperabilità per la PA direttamente e indirettamente pianificando e coordinando iniziative di condivisione e accompagnamento per le pubbliche amministrazioni, anche attraverso protocolli d'intesa ed accordi per:</w:t>
      </w:r>
    </w:p>
    <w:p w14:paraId="37879982" w14:textId="77777777" w:rsidR="00C77C37" w:rsidRDefault="00204E95">
      <w:pPr>
        <w:pStyle w:val="Paragrafoelenco"/>
        <w:numPr>
          <w:ilvl w:val="0"/>
          <w:numId w:val="12"/>
        </w:numPr>
      </w:pPr>
      <w:r>
        <w:t>la costituzione di tavoli e gruppi di lavoro;</w:t>
      </w:r>
    </w:p>
    <w:p w14:paraId="6818D1A3" w14:textId="77777777" w:rsidR="00C77C37" w:rsidRDefault="00204E95">
      <w:pPr>
        <w:pStyle w:val="Paragrafoelenco"/>
        <w:numPr>
          <w:ilvl w:val="0"/>
          <w:numId w:val="12"/>
        </w:numPr>
      </w:pPr>
      <w:r>
        <w:t>l’avvio di progettualità congiunte;</w:t>
      </w:r>
    </w:p>
    <w:p w14:paraId="1B2F4A03" w14:textId="77777777" w:rsidR="00C77C37" w:rsidRDefault="00204E95">
      <w:pPr>
        <w:pStyle w:val="Paragrafoelenco"/>
        <w:numPr>
          <w:ilvl w:val="0"/>
          <w:numId w:val="12"/>
        </w:numPr>
      </w:pPr>
      <w:r>
        <w:t>la capitalizzazione delle soluzioni realizzate dalla PA in open source ecc.</w:t>
      </w:r>
    </w:p>
    <w:p w14:paraId="003708DF" w14:textId="77777777" w:rsidR="00C77C37" w:rsidRDefault="00204E95">
      <w:pPr>
        <w:spacing w:before="0"/>
      </w:pPr>
      <w:r>
        <w:t>Si tratta di iniziative di raccordo operativo per abilitare l’interoperabilità tra le PA e per supportare:</w:t>
      </w:r>
    </w:p>
    <w:p w14:paraId="5A5BF3D4" w14:textId="77777777" w:rsidR="00C77C37" w:rsidRDefault="00204E95">
      <w:pPr>
        <w:pStyle w:val="Paragrafoelenco"/>
        <w:numPr>
          <w:ilvl w:val="0"/>
          <w:numId w:val="13"/>
        </w:numPr>
      </w:pPr>
      <w:r>
        <w:t>la reingegnerizzazione dei processi e la digitalizzazione di procedure analogiche, la progettazione di nuovi sistemi e servizi;</w:t>
      </w:r>
    </w:p>
    <w:p w14:paraId="14A5FB4A" w14:textId="77777777" w:rsidR="00C77C37" w:rsidRDefault="00204E95">
      <w:pPr>
        <w:pStyle w:val="Paragrafoelenco"/>
        <w:numPr>
          <w:ilvl w:val="0"/>
          <w:numId w:val="13"/>
        </w:numPr>
      </w:pPr>
      <w:r>
        <w:t>il processo di diffusione e adozione delle piattaforme abilitanti di livello nazionale, nonché la razionalizzazione delle piattaforme esistenti;</w:t>
      </w:r>
    </w:p>
    <w:p w14:paraId="3EA5FDA1" w14:textId="77777777" w:rsidR="00C77C37" w:rsidRDefault="00204E95">
      <w:pPr>
        <w:pStyle w:val="Paragrafoelenco"/>
        <w:numPr>
          <w:ilvl w:val="0"/>
          <w:numId w:val="13"/>
        </w:numPr>
      </w:pPr>
      <w:r>
        <w:t>la definizione delle specifiche tecniche di interoperabilità individuate per specifici domini di interoperabilità.</w:t>
      </w:r>
    </w:p>
    <w:p w14:paraId="00FFE8BA" w14:textId="77777777" w:rsidR="00C77C37" w:rsidRDefault="00204E95">
      <w:pPr>
        <w:spacing w:before="0" w:after="60"/>
        <w:ind w:left="0" w:right="0"/>
        <w:jc w:val="left"/>
      </w:pPr>
      <w:r>
        <w:br w:type="page"/>
      </w:r>
    </w:p>
    <w:p w14:paraId="748FD5E0" w14:textId="77777777" w:rsidR="00C77C37" w:rsidRDefault="00204E95">
      <w:pPr>
        <w:pStyle w:val="Titolo3"/>
      </w:pPr>
      <w:bookmarkStart w:id="81" w:name="_Toc157008349"/>
      <w:r>
        <w:lastRenderedPageBreak/>
        <w:t>Obiettivi dell’amministrazione e risultati attesi</w:t>
      </w:r>
      <w:bookmarkEnd w:id="81"/>
    </w:p>
    <w:p w14:paraId="6CF244B6" w14:textId="77777777" w:rsidR="008B3E59" w:rsidRDefault="00204E95">
      <w:pPr>
        <w:spacing w:before="0"/>
      </w:pPr>
      <w:r>
        <w:t xml:space="preserve">Questa Amministrazione è consapevole dell’importanza dell’interoperabilità dei sistemi, ma </w:t>
      </w:r>
      <w:r w:rsidR="00191D05">
        <w:t>è</w:t>
      </w:r>
      <w:r>
        <w:t xml:space="preserve"> anche conscia delle limitate capacità economiche e della carenza di skill adeguati nella sua organizzazione ha deciso, quindi, di utilizzare piattaforme sw di mercato, assicurandosi che il proprio fornitore strategico si adoperi al fine del raggiungimento degli obiettivi definiti nel Piano Nazionale.</w:t>
      </w:r>
      <w:r w:rsidR="006D2AD4">
        <w:t xml:space="preserve"> </w:t>
      </w:r>
    </w:p>
    <w:p w14:paraId="4D0CD5F5" w14:textId="46B97E3F" w:rsidR="00C77C37" w:rsidRDefault="008B3E59">
      <w:pPr>
        <w:spacing w:before="0"/>
      </w:pPr>
      <w:r w:rsidRPr="00E67AFA">
        <w:rPr>
          <w:highlight w:val="yellow"/>
        </w:rPr>
        <w:t xml:space="preserve">L’ente ha inoltre partecipato ai bandi </w:t>
      </w:r>
      <w:r w:rsidR="006D2AD4" w:rsidRPr="00E67AFA">
        <w:rPr>
          <w:color w:val="000000" w:themeColor="text1"/>
          <w:highlight w:val="yellow"/>
        </w:rPr>
        <w:t>PNRR</w:t>
      </w:r>
      <w:r>
        <w:rPr>
          <w:color w:val="000000" w:themeColor="text1"/>
        </w:rPr>
        <w:t>, per finanziare l’attività di ammodernamento dei sistemi informativi ed adeguarli alle direttive Nazionali. L’elenco dei finanziamenti ricevuti e’ riportato nel paragrafo: Obiettivi e spesa prevista del I capitolo.</w:t>
      </w:r>
    </w:p>
    <w:p w14:paraId="0078E675" w14:textId="12530CFE" w:rsidR="00C77C37" w:rsidRDefault="00204E95">
      <w:pPr>
        <w:spacing w:before="0"/>
      </w:pPr>
      <w:r>
        <w:t>L’Ente si rende sin d’ora interessata ad adottare soluzioni specifiche ed interoperabili, appena saranno disponibili, facendosi carico dell’eventuale integrazione con i propri sistemi.</w:t>
      </w:r>
    </w:p>
    <w:p w14:paraId="392DD0CD" w14:textId="77777777" w:rsidR="00C77C37" w:rsidRDefault="00C77C37">
      <w:pPr>
        <w:spacing w:before="0"/>
      </w:pPr>
    </w:p>
    <w:p w14:paraId="2DB00817" w14:textId="77777777" w:rsidR="00C77C37" w:rsidRDefault="00204E95">
      <w:pPr>
        <w:pStyle w:val="Titolo3"/>
      </w:pPr>
      <w:bookmarkStart w:id="82" w:name="_Toc157008350"/>
      <w:r>
        <w:t>Linee di azione di interesse per l’amministrazione</w:t>
      </w:r>
      <w:bookmarkEnd w:id="82"/>
    </w:p>
    <w:p w14:paraId="55332176" w14:textId="3FCAE684" w:rsidR="00C77C37" w:rsidRDefault="00204E95">
      <w:pPr>
        <w:spacing w:before="0"/>
      </w:pPr>
      <w:r>
        <w:t xml:space="preserve">Con riferimento agli obiettivi </w:t>
      </w:r>
      <w:r w:rsidRPr="00191D05">
        <w:t xml:space="preserve">generali </w:t>
      </w:r>
      <w:r>
        <w:t xml:space="preserve">del Piano Nazionale per la Digitalizzazione ed a fronte delle linee di azioni definite per le Amministrazioni, in Allegato 3 sono riportate </w:t>
      </w:r>
      <w:r w:rsidR="00462A03">
        <w:t>tutte le Linee di Azione indirizzate dall’ente.</w:t>
      </w:r>
    </w:p>
    <w:p w14:paraId="2597942B" w14:textId="77777777" w:rsidR="00C77C37" w:rsidRDefault="00204E95">
      <w:pPr>
        <w:pStyle w:val="Titolo4"/>
      </w:pPr>
      <w:r>
        <w:br w:type="page"/>
      </w:r>
    </w:p>
    <w:p w14:paraId="431C0977" w14:textId="77777777" w:rsidR="00C77C37" w:rsidRDefault="00204E95">
      <w:pPr>
        <w:pStyle w:val="Titolo2"/>
      </w:pPr>
      <w:bookmarkStart w:id="83" w:name="_Toc93328385"/>
      <w:bookmarkStart w:id="84" w:name="_Toc127285880"/>
      <w:bookmarkStart w:id="85" w:name="_Toc127366256"/>
      <w:bookmarkStart w:id="86" w:name="_Toc157008351"/>
      <w:r>
        <w:lastRenderedPageBreak/>
        <w:t>Capitolo 6. Sicurezza Informatica</w:t>
      </w:r>
      <w:bookmarkEnd w:id="83"/>
      <w:bookmarkEnd w:id="84"/>
      <w:bookmarkEnd w:id="85"/>
      <w:bookmarkEnd w:id="86"/>
    </w:p>
    <w:p w14:paraId="25A3FDE3" w14:textId="77777777" w:rsidR="00C77C37" w:rsidRDefault="00204E95">
      <w:pPr>
        <w:spacing w:before="0"/>
      </w:pPr>
      <w:r>
        <w:t xml:space="preserve">Il Piano Nazionale di Ripresa e Resilienza (PNNR), l'istituzione della nuova Agenzia per la Cybersicurezza nazionale e il decreto attuativo del perimetro di sicurezza nazionale cibernetica pongono la </w:t>
      </w:r>
      <w:r>
        <w:rPr>
          <w:i/>
        </w:rPr>
        <w:t xml:space="preserve">cybersecurity </w:t>
      </w:r>
      <w:r>
        <w:t>a fondamento della digitalizzazione della Pubblica Amministrazione e del Sistema Italia.</w:t>
      </w:r>
    </w:p>
    <w:p w14:paraId="1F4FB746" w14:textId="77777777" w:rsidR="00C77C37" w:rsidRDefault="00204E95">
      <w:pPr>
        <w:spacing w:before="0"/>
      </w:pPr>
      <w:r>
        <w:t>In tale contesto sono necessarie infrastrutture tecnologiche e piattaforme in grado di offrire ai cittadini e alle imprese servizi digitali efficaci, sicuri e resilienti.</w:t>
      </w:r>
    </w:p>
    <w:p w14:paraId="5036A8AF" w14:textId="77777777" w:rsidR="00C77C37" w:rsidRDefault="00204E95">
      <w:pPr>
        <w:spacing w:before="0"/>
      </w:pPr>
      <w:r>
        <w:t xml:space="preserve">Punti focali di questo capitolo sono le tematiche relative al </w:t>
      </w:r>
      <w:r>
        <w:rPr>
          <w:i/>
        </w:rPr>
        <w:t>Cyber Security Awareness</w:t>
      </w:r>
      <w:r>
        <w:t>, in quanto da tale consapevolezza possono derivare le azioni organizzative necessarie a mitigare il rischio connesso alle potenziali minacce informatiche e alle evoluzioni degli attacchi informatici.</w:t>
      </w:r>
    </w:p>
    <w:p w14:paraId="5BF21A83" w14:textId="77777777" w:rsidR="00C77C37" w:rsidRDefault="00204E95">
      <w:pPr>
        <w:spacing w:before="0"/>
      </w:pPr>
      <w:r>
        <w:t>Infine, la sicurezza informatica rappresenta un elemento trasversale a tutto il Piano triennale, attraverso l’emanazione di linee guida e guide tecniche.</w:t>
      </w:r>
    </w:p>
    <w:p w14:paraId="71F004BB" w14:textId="77777777" w:rsidR="00C77C37" w:rsidRDefault="00C77C37">
      <w:pPr>
        <w:spacing w:before="0"/>
      </w:pPr>
    </w:p>
    <w:p w14:paraId="1FF25E6A" w14:textId="77777777" w:rsidR="00C77C37" w:rsidRDefault="00204E95">
      <w:pPr>
        <w:spacing w:before="0" w:after="60"/>
        <w:ind w:left="0" w:right="0"/>
        <w:jc w:val="left"/>
        <w:rPr>
          <w:rFonts w:ascii="Calibri Light" w:eastAsia="Calibri" w:hAnsi="Calibri Light" w:cs="Calibri Light"/>
          <w:color w:val="4472C4"/>
          <w:sz w:val="28"/>
          <w:szCs w:val="28"/>
        </w:rPr>
      </w:pPr>
      <w:r>
        <w:br w:type="page"/>
      </w:r>
    </w:p>
    <w:p w14:paraId="301CD250" w14:textId="77777777" w:rsidR="00C77C37" w:rsidRDefault="00204E95">
      <w:pPr>
        <w:pStyle w:val="Titolo3"/>
      </w:pPr>
      <w:bookmarkStart w:id="87" w:name="_Toc157008352"/>
      <w:r>
        <w:lastRenderedPageBreak/>
        <w:t>Obiettivi dell’amministrazione e risultati attesi</w:t>
      </w:r>
      <w:bookmarkEnd w:id="87"/>
    </w:p>
    <w:p w14:paraId="5CBD1DAE" w14:textId="77777777" w:rsidR="00C77C37" w:rsidRDefault="00204E95">
      <w:pPr>
        <w:spacing w:before="0"/>
      </w:pPr>
      <w:r>
        <w:t>Questa Amministrazione resta in attesa delle iniziative che verranno prese dalle istituzioni centrali/nazionali in merito.</w:t>
      </w:r>
    </w:p>
    <w:p w14:paraId="5E287526" w14:textId="77777777" w:rsidR="00C77C37" w:rsidRDefault="00204E95">
      <w:r>
        <w:t>L’istituzione dell'Agenzia per la Cybersicurezza Nazionale (ACN), è tuttora in fase di revisione e cambiamento tramite il progressivo trasferimento di competenze dai soggetti che ne esercitavano le funzioni alla stessa ACN.</w:t>
      </w:r>
    </w:p>
    <w:p w14:paraId="512323F2" w14:textId="77777777" w:rsidR="00C77C37" w:rsidRDefault="00204E95">
      <w:r>
        <w:t>Gli obiettivi e le linee di azione relative al triennio di competenza del Piano potranno essere integrati a seguito della definizione di appositi indicatori del Piano di implementazione della Strategia Nazionale di Cybersicurezza 2022-2026.</w:t>
      </w:r>
    </w:p>
    <w:p w14:paraId="4C26DF64" w14:textId="77777777" w:rsidR="00C77C37" w:rsidRDefault="00204E95">
      <w:pPr>
        <w:spacing w:before="0"/>
      </w:pPr>
      <w:r>
        <w:t>Ad oggi sono applicate tutte le norme e le direttive riguardanti la sicurezza informatica attraverso l’utilizzo delle tecnologie messe a disposizione dal fornitore strategico prescelto.</w:t>
      </w:r>
    </w:p>
    <w:p w14:paraId="0A54EF6D" w14:textId="77777777" w:rsidR="00C77C37" w:rsidRDefault="00204E95">
      <w:pPr>
        <w:spacing w:before="0"/>
      </w:pPr>
      <w:r>
        <w:t>L’ente si farà carico di adeguare i propri sistemi man mano che le nuove direttive e infrastrutture saranno rese disponibili. (anni 2023-2024).</w:t>
      </w:r>
    </w:p>
    <w:p w14:paraId="7771D1E1" w14:textId="77777777" w:rsidR="00C77C37" w:rsidRDefault="00204E95">
      <w:pPr>
        <w:pStyle w:val="Titolo3"/>
      </w:pPr>
      <w:bookmarkStart w:id="88" w:name="_Toc157008353"/>
      <w:r>
        <w:t>Linee di azione di interesse per l’amministrazione</w:t>
      </w:r>
      <w:bookmarkEnd w:id="88"/>
    </w:p>
    <w:p w14:paraId="648DA829" w14:textId="481FA667" w:rsidR="00C77C37" w:rsidRDefault="00204E95">
      <w:pPr>
        <w:spacing w:before="0"/>
      </w:pPr>
      <w:r>
        <w:t xml:space="preserve">Con riferimento agli obiettivi </w:t>
      </w:r>
      <w:r w:rsidRPr="00191D05">
        <w:t xml:space="preserve">generali </w:t>
      </w:r>
      <w:r>
        <w:t xml:space="preserve">del Piano Nazionale per la Digitalizzazione ed a fronte delle linee di azioni definite per le Amministrazioni, in Allegato 3 sono riportate </w:t>
      </w:r>
      <w:r w:rsidR="00462A03">
        <w:t>tutte le Linee di Azione indirizzate dall’ente.</w:t>
      </w:r>
    </w:p>
    <w:p w14:paraId="29791DD0" w14:textId="77777777" w:rsidR="00C77C37" w:rsidRDefault="00204E95">
      <w:pPr>
        <w:pStyle w:val="Titolo4"/>
      </w:pPr>
      <w:r>
        <w:br w:type="page"/>
      </w:r>
    </w:p>
    <w:p w14:paraId="26798423" w14:textId="77777777" w:rsidR="00C77C37" w:rsidRDefault="00204E95">
      <w:pPr>
        <w:pStyle w:val="Titolo1"/>
        <w:spacing w:before="0"/>
      </w:pPr>
      <w:bookmarkStart w:id="89" w:name="_Toc85207184_Copy_1"/>
      <w:bookmarkStart w:id="90" w:name="_Toc127285888"/>
      <w:bookmarkStart w:id="91" w:name="_Toc127366268"/>
      <w:bookmarkStart w:id="92" w:name="_Toc157008354"/>
      <w:bookmarkEnd w:id="89"/>
      <w:r>
        <w:lastRenderedPageBreak/>
        <w:t>PARTE III</w:t>
      </w:r>
      <w:r>
        <w:rPr>
          <w:vertAlign w:val="superscript"/>
        </w:rPr>
        <w:t>a</w:t>
      </w:r>
      <w:r>
        <w:t xml:space="preserve"> - La governance</w:t>
      </w:r>
      <w:bookmarkEnd w:id="90"/>
      <w:bookmarkEnd w:id="91"/>
      <w:bookmarkEnd w:id="92"/>
    </w:p>
    <w:p w14:paraId="1ECF08CF" w14:textId="77777777" w:rsidR="00C77C37" w:rsidRDefault="00204E95">
      <w:pPr>
        <w:pStyle w:val="Titolo2"/>
      </w:pPr>
      <w:bookmarkStart w:id="93" w:name="_Toc93328398"/>
      <w:bookmarkStart w:id="94" w:name="_Toc127285881"/>
      <w:bookmarkStart w:id="95" w:name="_Toc127366259"/>
      <w:bookmarkStart w:id="96" w:name="_Toc157008355"/>
      <w:r>
        <w:t>Capitolo 7. Le Leve per l’innovazione</w:t>
      </w:r>
      <w:bookmarkEnd w:id="93"/>
      <w:bookmarkEnd w:id="94"/>
      <w:bookmarkEnd w:id="95"/>
      <w:bookmarkEnd w:id="96"/>
    </w:p>
    <w:p w14:paraId="0791BBBA" w14:textId="77777777" w:rsidR="00C77C37" w:rsidRDefault="00204E95">
      <w:pPr>
        <w:spacing w:before="0"/>
      </w:pPr>
      <w:r>
        <w:t>Tutti i processi dell’innovazione, sono pervasi dal tema delle competenze digitali come acceleratore delle loro fasi, nonché comune denominatore per un approccio consapevole e qualificato al fine di un consolidamento del processo di cambiamento guidato dalle moderne tecnologie.</w:t>
      </w:r>
    </w:p>
    <w:p w14:paraId="7CDB8FD4" w14:textId="77777777" w:rsidR="00C77C37" w:rsidRDefault="00204E95">
      <w:pPr>
        <w:spacing w:before="0"/>
      </w:pPr>
      <w:r>
        <w:t xml:space="preserve">Le competenze digitali esercitano un ruolo fondamentale e rappresentano un fattore abilitante, anche in relazione alla efficacia delle altre leve e strumenti proposti e, qui di seguito approfonditi. Di natura trasversale, lo sviluppo di competenze digitali assunto come </w:t>
      </w:r>
      <w:r>
        <w:rPr>
          <w:i/>
        </w:rPr>
        <w:t xml:space="preserve">asset </w:t>
      </w:r>
      <w:r>
        <w:t>strategico comprende tutto ciò che può essere identificato in termini di bagaglio culturale e conoscenza diffusa per favorire l'innesto, efficace e duraturo, dei processi di innovazione in atto.</w:t>
      </w:r>
    </w:p>
    <w:p w14:paraId="0E29C03D" w14:textId="77777777" w:rsidR="00C77C37" w:rsidRDefault="00204E95">
      <w:pPr>
        <w:pStyle w:val="Titolo3"/>
      </w:pPr>
      <w:bookmarkStart w:id="97" w:name="_Toc127285882"/>
      <w:bookmarkStart w:id="98" w:name="_Toc127366260"/>
      <w:bookmarkStart w:id="99" w:name="_Toc157008356"/>
      <w:r>
        <w:t>Le competenze digitali per la PA e per il Paese e l’inclusione digitale</w:t>
      </w:r>
      <w:bookmarkEnd w:id="97"/>
      <w:bookmarkEnd w:id="98"/>
      <w:bookmarkEnd w:id="99"/>
    </w:p>
    <w:p w14:paraId="72C0A053" w14:textId="77777777" w:rsidR="00C77C37" w:rsidRDefault="00204E95">
      <w:pPr>
        <w:spacing w:before="0"/>
      </w:pPr>
      <w:r>
        <w:t xml:space="preserve">Il </w:t>
      </w:r>
      <w:r>
        <w:rPr>
          <w:i/>
        </w:rPr>
        <w:t xml:space="preserve">gap di </w:t>
      </w:r>
      <w:r>
        <w:t>competenze digitali da colmare nella popolazione produce effetti negativi sulla:</w:t>
      </w:r>
    </w:p>
    <w:p w14:paraId="62D38AE2" w14:textId="77777777" w:rsidR="00C77C37" w:rsidRDefault="00204E95">
      <w:pPr>
        <w:pStyle w:val="Paragrafoelenco"/>
        <w:numPr>
          <w:ilvl w:val="0"/>
          <w:numId w:val="10"/>
        </w:numPr>
      </w:pPr>
      <w:r>
        <w:t>possibilità di esercitare i diritti di cittadinanza e la partecipazione consapevole al dialogo democratico;</w:t>
      </w:r>
    </w:p>
    <w:p w14:paraId="6883EE52" w14:textId="77777777" w:rsidR="00C77C37" w:rsidRDefault="00204E95">
      <w:pPr>
        <w:pStyle w:val="Paragrafoelenco"/>
        <w:numPr>
          <w:ilvl w:val="0"/>
          <w:numId w:val="10"/>
        </w:numPr>
      </w:pPr>
      <w:r>
        <w:t>capacità di rispondere alle richieste dal mondo del lavoro;</w:t>
      </w:r>
    </w:p>
    <w:p w14:paraId="285AA10C" w14:textId="77777777" w:rsidR="00C77C37" w:rsidRDefault="00204E95">
      <w:pPr>
        <w:pStyle w:val="Paragrafoelenco"/>
        <w:numPr>
          <w:ilvl w:val="0"/>
          <w:numId w:val="10"/>
        </w:numPr>
      </w:pPr>
      <w:r>
        <w:t>capacità del Paese di adeguarsi all’evoluzione dei nuovi mercati e delle nuove professioni, in gran parte correlate alle tecnologie emergenti.</w:t>
      </w:r>
    </w:p>
    <w:p w14:paraId="37E11A5C" w14:textId="77777777" w:rsidR="00C77C37" w:rsidRDefault="00204E95">
      <w:pPr>
        <w:spacing w:before="0"/>
      </w:pPr>
      <w:r w:rsidRPr="00191D05">
        <w:t xml:space="preserve">In questo quadro la “Strategia nazionale per le competenze digitali”, elaborata, come il relativo </w:t>
      </w:r>
      <w:hyperlink r:id="rId27">
        <w:r w:rsidRPr="00191D05">
          <w:rPr>
            <w:rStyle w:val="Collegamentoipertestuale"/>
            <w:color w:val="auto"/>
            <w:u w:val="none"/>
          </w:rPr>
          <w:t xml:space="preserve">Piano operativo pubblicato nel dicembre 2020, </w:t>
        </w:r>
      </w:hyperlink>
      <w:r w:rsidRPr="00191D05">
        <w:t xml:space="preserve">nell’ambito dell’iniziativa strategica nazionale </w:t>
      </w:r>
      <w:r>
        <w:t>Repubblica Digitale, si articola su quattro assi di intervento:</w:t>
      </w:r>
    </w:p>
    <w:p w14:paraId="51BCFC75" w14:textId="77777777" w:rsidR="00C77C37" w:rsidRDefault="00204E95">
      <w:pPr>
        <w:pStyle w:val="Paragrafoelenco"/>
        <w:numPr>
          <w:ilvl w:val="0"/>
          <w:numId w:val="9"/>
        </w:numPr>
      </w:pPr>
      <w:r>
        <w:t>lo sviluppo delle competenze digitali necessarie all’interno del ciclo dell’istruzione e della formazione superiore, con il coordinamento di Ministero dell’Istruzione e Ministero dell’Università e Ricerca;</w:t>
      </w:r>
    </w:p>
    <w:p w14:paraId="5A2E07D1" w14:textId="77777777" w:rsidR="00C77C37" w:rsidRDefault="00204E95">
      <w:pPr>
        <w:pStyle w:val="Paragrafoelenco"/>
        <w:numPr>
          <w:ilvl w:val="0"/>
          <w:numId w:val="9"/>
        </w:numPr>
      </w:pPr>
      <w:r>
        <w:t>il potenziamento e lo sviluppo delle competenze digitali della forza lavoro, sia nel settore privato che nel settore pubblico, incluse le competenze per l’</w:t>
      </w:r>
      <w:r>
        <w:rPr>
          <w:i/>
        </w:rPr>
        <w:t xml:space="preserve">e-leadership </w:t>
      </w:r>
      <w:r>
        <w:t>con il coordinamento di Ministero dello Sviluppo Economico e del Dipartimento della Funzione Pubblica;</w:t>
      </w:r>
    </w:p>
    <w:p w14:paraId="32EECBAC" w14:textId="77777777" w:rsidR="00C77C37" w:rsidRDefault="00204E95">
      <w:pPr>
        <w:pStyle w:val="Paragrafoelenco"/>
        <w:numPr>
          <w:ilvl w:val="0"/>
          <w:numId w:val="9"/>
        </w:numPr>
      </w:pPr>
      <w:r>
        <w:lastRenderedPageBreak/>
        <w:t>lo sviluppo di competenze specialistiche ICT per fronteggiare le sfide legate alle tecnologie emergenti e al possesso delle competenze chiave per i lavori del futuro con il coordinamento di Ministero dell’Università e Ricerca e Ministero dello Sviluppo Economico;</w:t>
      </w:r>
    </w:p>
    <w:p w14:paraId="0E084ACC" w14:textId="1A725B35" w:rsidR="00C77C37" w:rsidRDefault="00204E95">
      <w:pPr>
        <w:pStyle w:val="Paragrafoelenco"/>
        <w:numPr>
          <w:ilvl w:val="0"/>
          <w:numId w:val="9"/>
        </w:numPr>
      </w:pPr>
      <w:r>
        <w:t>il potenziamento delle competenze digitali necessarie per esercitare i diritti di cittadinanza (inclusa la piena fruizione dei servizi online) e la partecipazione consapevole al dialogo democratico con il coordinamento del Ministro per l’Innovazione Tecnologica e la</w:t>
      </w:r>
      <w:r w:rsidR="00B55664" w:rsidRPr="00B55664">
        <w:rPr>
          <w:color w:val="FF0000"/>
        </w:rPr>
        <w:t xml:space="preserve"> ……………………..</w:t>
      </w:r>
    </w:p>
    <w:p w14:paraId="6F2A2842" w14:textId="77777777" w:rsidR="00C77C37" w:rsidRDefault="00204E95">
      <w:pPr>
        <w:pStyle w:val="Titolo3"/>
      </w:pPr>
      <w:bookmarkStart w:id="100" w:name="_Toc127285883"/>
      <w:bookmarkStart w:id="101" w:name="_Toc127366261"/>
      <w:bookmarkStart w:id="102" w:name="_Toc157008357"/>
      <w:r>
        <w:t>Transizione Digitale.</w:t>
      </w:r>
      <w:bookmarkEnd w:id="100"/>
      <w:bookmarkEnd w:id="101"/>
      <w:bookmarkEnd w:id="102"/>
    </w:p>
    <w:p w14:paraId="3F575600" w14:textId="77777777" w:rsidR="00C77C37" w:rsidRDefault="00204E95">
      <w:pPr>
        <w:spacing w:before="0"/>
      </w:pPr>
      <w:r>
        <w:t>Nell’ambito specifico dei diritti e dei doveri di cittadinanza digitale, per favorire la piena fruizione dei servizi pubblici digitali e semplificare i rapporti tra cittadini, imprese e Pubblica Amministrazione, è prevista la realizzazione di una guida di riepilogo dei diritti di cittadinanza digitali previsti nel CAD.</w:t>
      </w:r>
    </w:p>
    <w:p w14:paraId="148B18BE" w14:textId="77777777" w:rsidR="00C77C37" w:rsidRDefault="00204E95">
      <w:pPr>
        <w:spacing w:before="0"/>
      </w:pPr>
      <w:r>
        <w:t xml:space="preserve">Gli obiettivi del Piano, poi, potranno essere raggiunti solo attraverso azioni di sensibilizzazione e di formazione che coinvolgano in primo luogo i dipendenti della Pubblica Amministrazione. Ha già superato la fase di sperimentazione ed è in fase avanzata di realizzazione il progetto del Dipartimento della Funzione </w:t>
      </w:r>
      <w:r w:rsidRPr="00191D05">
        <w:t>Pubblica “</w:t>
      </w:r>
      <w:hyperlink r:id="rId28">
        <w:r w:rsidRPr="00191D05">
          <w:rPr>
            <w:rStyle w:val="Collegamentoipertestuale"/>
            <w:color w:val="auto"/>
            <w:u w:val="none"/>
          </w:rPr>
          <w:t>Competenze digitali per la PA</w:t>
        </w:r>
      </w:hyperlink>
      <w:r w:rsidRPr="00191D05">
        <w:t xml:space="preserve">” che mette </w:t>
      </w:r>
      <w:r>
        <w:t xml:space="preserve">a disposizione una piattaforma e contenuti formativi rivolti ad Amministrazioni differenziate per dimensioni e tipo di attività svolta (ad es. </w:t>
      </w:r>
      <w:r>
        <w:rPr>
          <w:b/>
          <w:bCs/>
          <w:u w:val="single"/>
        </w:rPr>
        <w:t>Comuni</w:t>
      </w:r>
      <w:r>
        <w:t>, Enti Pubblici non economici, Regioni).</w:t>
      </w:r>
    </w:p>
    <w:p w14:paraId="3740E33A" w14:textId="77777777" w:rsidR="00C77C37" w:rsidRDefault="00204E95">
      <w:pPr>
        <w:spacing w:before="0"/>
      </w:pPr>
      <w:r>
        <w:t xml:space="preserve">A questa attività si sono aggiunte iniziative “verticali”: la formazione specifica sui temi della qualità dei dati, dell’accessibilità, della </w:t>
      </w:r>
      <w:r>
        <w:rPr>
          <w:i/>
        </w:rPr>
        <w:t>security awareness</w:t>
      </w:r>
      <w:r>
        <w:t>, del governo e della gestione dei progetti ICT, rivolta a tutti i dipendenti della PA; la formazione e l’aggiornamento sui temi della trasformazione digitale e del governo dei processi di innovazione per i Responsabili per la Transizione al digitale.</w:t>
      </w:r>
    </w:p>
    <w:p w14:paraId="4F59F65F" w14:textId="77777777" w:rsidR="00C77C37" w:rsidRDefault="00204E95">
      <w:pPr>
        <w:pStyle w:val="Titolo3"/>
      </w:pPr>
      <w:bookmarkStart w:id="103" w:name="_Toc127285884"/>
      <w:bookmarkStart w:id="104" w:name="_Toc127366262"/>
      <w:bookmarkStart w:id="105" w:name="_Toc157008358"/>
      <w:r>
        <w:t>Strumenti e modelli per l’innovazione</w:t>
      </w:r>
      <w:bookmarkEnd w:id="103"/>
      <w:bookmarkEnd w:id="104"/>
      <w:bookmarkEnd w:id="105"/>
    </w:p>
    <w:p w14:paraId="494D6D3B" w14:textId="77777777" w:rsidR="00C77C37" w:rsidRDefault="00204E95">
      <w:pPr>
        <w:spacing w:before="0"/>
      </w:pPr>
      <w:r>
        <w:t xml:space="preserve">La trasformazione digitale della Pubblica Amministrazione si basa sull’innovazione dei suoi processi, finalizzati al miglioramento dell’efficienza e della qualità dei servizi a partire dalle aree di interesse pubblico ad alto impatto per il benessere dei cittadini come la salute, la giustizia, la protezione dei consumatori, la mobilità, il monitoraggio ambientale, l’istruzione e la cultura, con l’obiettivo di stimolare la diffusione di modelli organizzativi di </w:t>
      </w:r>
      <w:r>
        <w:rPr>
          <w:i/>
        </w:rPr>
        <w:t>open innovation</w:t>
      </w:r>
      <w:r>
        <w:t>.</w:t>
      </w:r>
    </w:p>
    <w:p w14:paraId="3A645EA7" w14:textId="77777777" w:rsidR="00C77C37" w:rsidRDefault="00204E95">
      <w:pPr>
        <w:pStyle w:val="Titolo3"/>
      </w:pPr>
      <w:bookmarkStart w:id="106" w:name="_Toc127285886"/>
      <w:bookmarkStart w:id="107" w:name="_Toc127366264"/>
      <w:bookmarkStart w:id="108" w:name="_Toc157008359"/>
      <w:r>
        <w:lastRenderedPageBreak/>
        <w:t>La sperimentazione e lo sviluppo dell’innovazione</w:t>
      </w:r>
      <w:bookmarkEnd w:id="106"/>
      <w:bookmarkEnd w:id="107"/>
      <w:bookmarkEnd w:id="108"/>
    </w:p>
    <w:p w14:paraId="37900DED" w14:textId="77777777" w:rsidR="00C77C37" w:rsidRDefault="00204E95">
      <w:pPr>
        <w:spacing w:before="0"/>
      </w:pPr>
      <w:r>
        <w:t xml:space="preserve">In continuità con quanto descritto nella precedente edizione del Piano sono state avviate collaborazioni con Enti e organismi aventi analoghe conoscenze ed esperienze e già operanti in significative aree del Paese, al fine di costituire Nodi Territoriali di Competenza (NTC), che assumono la funzione di </w:t>
      </w:r>
      <w:r>
        <w:rPr>
          <w:i/>
        </w:rPr>
        <w:t xml:space="preserve">hub </w:t>
      </w:r>
      <w:r>
        <w:t>locale del CdCT (Centro di Competenza Territoriale) stesso, ideati e realizzati partendo dalle esigenze di progettualità espresse dai territori in ambito provinciale e metropolitano.</w:t>
      </w:r>
    </w:p>
    <w:p w14:paraId="2C730E19" w14:textId="77777777" w:rsidR="00C77C37" w:rsidRDefault="00204E95">
      <w:pPr>
        <w:spacing w:before="0"/>
      </w:pPr>
      <w:r>
        <w:t xml:space="preserve">Allo stesso tempo, le prospettive di evoluzione e di sviluppo economico dei territori passeranno sempre più attraverso la creazione di </w:t>
      </w:r>
      <w:r>
        <w:rPr>
          <w:i/>
        </w:rPr>
        <w:t>smart community</w:t>
      </w:r>
      <w:r>
        <w:t>, tema, questo, di grande attualità anche nel resto dell’Europa, già delineato nella precedente edizione del Piano triennale (</w:t>
      </w:r>
      <w:r>
        <w:rPr>
          <w:i/>
        </w:rPr>
        <w:t xml:space="preserve">Smart cities </w:t>
      </w:r>
      <w:r>
        <w:t xml:space="preserve">e Borghi del Futuro). Il ruolo che i </w:t>
      </w:r>
      <w:r>
        <w:rPr>
          <w:b/>
          <w:bCs/>
        </w:rPr>
        <w:t>Comuni</w:t>
      </w:r>
      <w:r>
        <w:t xml:space="preserve"> e le città possono svolgere per indirizzare l’innovazione è fondamentale per:</w:t>
      </w:r>
    </w:p>
    <w:p w14:paraId="54F0961E" w14:textId="77777777" w:rsidR="00C77C37" w:rsidRDefault="00204E95">
      <w:pPr>
        <w:pStyle w:val="Paragrafoelenco"/>
        <w:numPr>
          <w:ilvl w:val="0"/>
          <w:numId w:val="8"/>
        </w:numPr>
      </w:pPr>
      <w:r>
        <w:t>migliorare la qualità della vita dei cittadini;</w:t>
      </w:r>
    </w:p>
    <w:p w14:paraId="2CBBF037" w14:textId="77777777" w:rsidR="00C77C37" w:rsidRDefault="00204E95">
      <w:pPr>
        <w:pStyle w:val="Paragrafoelenco"/>
        <w:numPr>
          <w:ilvl w:val="0"/>
          <w:numId w:val="8"/>
        </w:numPr>
      </w:pPr>
      <w:r>
        <w:t>innovare il contesto imprenditoriale del territorio nazionale;</w:t>
      </w:r>
    </w:p>
    <w:p w14:paraId="40FB365D" w14:textId="77777777" w:rsidR="00C77C37" w:rsidRDefault="00204E95">
      <w:pPr>
        <w:pStyle w:val="Paragrafoelenco"/>
        <w:numPr>
          <w:ilvl w:val="0"/>
          <w:numId w:val="8"/>
        </w:numPr>
      </w:pPr>
      <w:r>
        <w:t xml:space="preserve">generare un impatto rilevante sull’efficienza della Pubblica Amministrazione, secondo criteri </w:t>
      </w:r>
      <w:r w:rsidRPr="00191D05">
        <w:t xml:space="preserve">generali </w:t>
      </w:r>
      <w:r>
        <w:t>di accessibilità, innovazione e scalabilità.</w:t>
      </w:r>
    </w:p>
    <w:p w14:paraId="00615319" w14:textId="77777777" w:rsidR="00C77C37" w:rsidRDefault="00C77C37">
      <w:pPr>
        <w:spacing w:before="0"/>
      </w:pPr>
    </w:p>
    <w:p w14:paraId="30BD9A3C" w14:textId="77777777" w:rsidR="00C77C37" w:rsidRDefault="00204E95">
      <w:pPr>
        <w:spacing w:before="0"/>
      </w:pPr>
      <w:r>
        <w:t xml:space="preserve">Un esempio concreto è rappresentato dal </w:t>
      </w:r>
      <w:r w:rsidRPr="00191D05">
        <w:t xml:space="preserve">programma </w:t>
      </w:r>
      <w:hyperlink r:id="rId29">
        <w:r w:rsidRPr="00191D05">
          <w:rPr>
            <w:rStyle w:val="Collegamentoipertestuale"/>
            <w:i/>
            <w:color w:val="auto"/>
            <w:u w:val="none"/>
          </w:rPr>
          <w:t>Smarter Italy</w:t>
        </w:r>
        <w:r w:rsidRPr="00191D05">
          <w:rPr>
            <w:rStyle w:val="Collegamentoipertestuale"/>
            <w:color w:val="auto"/>
            <w:u w:val="none"/>
          </w:rPr>
          <w:t xml:space="preserve">, </w:t>
        </w:r>
      </w:hyperlink>
      <w:r w:rsidRPr="00191D05">
        <w:t xml:space="preserve">avviato </w:t>
      </w:r>
      <w:r>
        <w:t>dal Ministero dello Sviluppo Economico, in collaborazione con AGID, MID e MUR.</w:t>
      </w:r>
    </w:p>
    <w:p w14:paraId="74D2B375" w14:textId="77777777" w:rsidR="00C77C37" w:rsidRDefault="00204E95">
      <w:pPr>
        <w:spacing w:before="0"/>
      </w:pPr>
      <w:r>
        <w:rPr>
          <w:i/>
        </w:rPr>
        <w:t xml:space="preserve">Smarter Italy </w:t>
      </w:r>
      <w:r>
        <w:t>opererà inizialmente su tre direttrici: la mobilità intelligente (</w:t>
      </w:r>
      <w:r>
        <w:rPr>
          <w:i/>
        </w:rPr>
        <w:t>Smart mobility</w:t>
      </w:r>
      <w:r>
        <w:t>), il patrimonio culturale (</w:t>
      </w:r>
      <w:r>
        <w:rPr>
          <w:i/>
        </w:rPr>
        <w:t>Cultural heritage</w:t>
      </w:r>
      <w:r>
        <w:t xml:space="preserve">) ed il benessere e la salute dei cittadini </w:t>
      </w:r>
      <w:r>
        <w:rPr>
          <w:i/>
        </w:rPr>
        <w:t>(Wellbeing</w:t>
      </w:r>
      <w:r>
        <w:t>), per estendere progressivamente i processi di digitalizzazione all’ambiente, alle infrastrutture e alla formazione.</w:t>
      </w:r>
    </w:p>
    <w:p w14:paraId="523B788D" w14:textId="77777777" w:rsidR="00C77C37" w:rsidRDefault="00204E95">
      <w:pPr>
        <w:spacing w:before="0" w:after="160" w:line="259" w:lineRule="auto"/>
        <w:ind w:left="0" w:right="0"/>
        <w:jc w:val="left"/>
        <w:rPr>
          <w:rFonts w:ascii="Calibri Light" w:eastAsia="Calibri" w:hAnsi="Calibri Light" w:cs="Calibri Light"/>
          <w:color w:val="4472C4"/>
          <w:sz w:val="28"/>
          <w:szCs w:val="28"/>
        </w:rPr>
      </w:pPr>
      <w:bookmarkStart w:id="109" w:name="_Toc93328400"/>
      <w:bookmarkEnd w:id="109"/>
      <w:r>
        <w:br w:type="page"/>
      </w:r>
    </w:p>
    <w:p w14:paraId="4E8CAC89" w14:textId="77777777" w:rsidR="00C77C37" w:rsidRDefault="00204E95">
      <w:pPr>
        <w:pStyle w:val="Titolo3"/>
      </w:pPr>
      <w:bookmarkStart w:id="110" w:name="_Toc157008360"/>
      <w:r>
        <w:lastRenderedPageBreak/>
        <w:t>Obiettivi dell’amministrazione e risultati attesi</w:t>
      </w:r>
      <w:bookmarkEnd w:id="110"/>
    </w:p>
    <w:p w14:paraId="05C3F284" w14:textId="77777777" w:rsidR="00C77C37" w:rsidRDefault="00204E95">
      <w:r>
        <w:t>L’amministrazione ha identificato le leve strategiche su cui investire per accelerare il processo di trasformazione digitale delle PA.</w:t>
      </w:r>
    </w:p>
    <w:p w14:paraId="493B7743" w14:textId="77777777" w:rsidR="00C77C37" w:rsidRPr="00A83FD1" w:rsidRDefault="00204E95">
      <w:pPr>
        <w:rPr>
          <w:highlight w:val="yellow"/>
        </w:rPr>
      </w:pPr>
      <w:r w:rsidRPr="00A83FD1">
        <w:rPr>
          <w:highlight w:val="yellow"/>
        </w:rPr>
        <w:t xml:space="preserve">L’attenzione, già dal 2022 si è posata su due aspetti: </w:t>
      </w:r>
    </w:p>
    <w:p w14:paraId="095B1FDB" w14:textId="77777777" w:rsidR="00C77C37" w:rsidRPr="00A83FD1" w:rsidRDefault="00204E95">
      <w:pPr>
        <w:pStyle w:val="Paragrafoelenco"/>
        <w:numPr>
          <w:ilvl w:val="1"/>
          <w:numId w:val="10"/>
        </w:numPr>
        <w:ind w:left="1134"/>
        <w:rPr>
          <w:highlight w:val="yellow"/>
        </w:rPr>
      </w:pPr>
      <w:r w:rsidRPr="00A83FD1">
        <w:rPr>
          <w:highlight w:val="yellow"/>
        </w:rPr>
        <w:t xml:space="preserve">la qualità degli acquisti di beni e servizi, che deve essere orientata con decisione verso obiettivi di modernizzazione della PA e di innovazione del tessuto produttivo del Paese; </w:t>
      </w:r>
    </w:p>
    <w:p w14:paraId="07E1D839" w14:textId="77777777" w:rsidR="00C77C37" w:rsidRPr="00A83FD1" w:rsidRDefault="00204E95">
      <w:pPr>
        <w:pStyle w:val="Paragrafoelenco"/>
        <w:numPr>
          <w:ilvl w:val="1"/>
          <w:numId w:val="10"/>
        </w:numPr>
        <w:ind w:left="1134"/>
        <w:rPr>
          <w:highlight w:val="yellow"/>
        </w:rPr>
      </w:pPr>
      <w:r w:rsidRPr="00A83FD1">
        <w:rPr>
          <w:highlight w:val="yellow"/>
        </w:rPr>
        <w:t xml:space="preserve">le competenze digitali dei cittadini e nelle imprese, la cui crescita avrebbe effetti strutturali sulla rapidità di diffusione dei servizi digitali del Paese. </w:t>
      </w:r>
    </w:p>
    <w:p w14:paraId="7E30B701" w14:textId="77777777" w:rsidR="00C77C37" w:rsidRPr="00A83FD1" w:rsidRDefault="00204E95">
      <w:pPr>
        <w:spacing w:before="0"/>
        <w:rPr>
          <w:highlight w:val="yellow"/>
        </w:rPr>
      </w:pPr>
      <w:r w:rsidRPr="00A83FD1">
        <w:rPr>
          <w:highlight w:val="yellow"/>
        </w:rPr>
        <w:t>L’ente attraverso la modernizzazione dei servizi al cittadino e la digitalizzazione degli stessi, intende anche avviare un processo di transizione digitale:</w:t>
      </w:r>
    </w:p>
    <w:p w14:paraId="2DE99953" w14:textId="77777777" w:rsidR="00C77C37" w:rsidRPr="00A83FD1" w:rsidRDefault="00204E95">
      <w:pPr>
        <w:pStyle w:val="Paragrafoelenco"/>
        <w:numPr>
          <w:ilvl w:val="0"/>
          <w:numId w:val="34"/>
        </w:numPr>
        <w:rPr>
          <w:highlight w:val="yellow"/>
        </w:rPr>
      </w:pPr>
      <w:r w:rsidRPr="00A83FD1">
        <w:rPr>
          <w:highlight w:val="yellow"/>
        </w:rPr>
        <w:t>adeguando e formando al “digitale” la propria struttura organizzativa (utilizzando tutti i supporti formativi predisposti dagli enti nazionali);</w:t>
      </w:r>
    </w:p>
    <w:p w14:paraId="75ABD7A5" w14:textId="77777777" w:rsidR="00C77C37" w:rsidRPr="00A83FD1" w:rsidRDefault="00204E95">
      <w:pPr>
        <w:pStyle w:val="Paragrafoelenco"/>
        <w:numPr>
          <w:ilvl w:val="0"/>
          <w:numId w:val="34"/>
        </w:numPr>
        <w:rPr>
          <w:highlight w:val="yellow"/>
        </w:rPr>
      </w:pPr>
      <w:r w:rsidRPr="00A83FD1">
        <w:rPr>
          <w:highlight w:val="yellow"/>
        </w:rPr>
        <w:t>svolgendo un’azione propositiva e di supporto ai cittadini per la necessaria transizione al Digitale (attraverso convegni, attività scolastiche, formazione attraverso le associazioni di categoria);</w:t>
      </w:r>
    </w:p>
    <w:p w14:paraId="5C7CD49E" w14:textId="77777777" w:rsidR="00C77C37" w:rsidRPr="00A83FD1" w:rsidRDefault="00204E95">
      <w:pPr>
        <w:pStyle w:val="Paragrafoelenco"/>
        <w:numPr>
          <w:ilvl w:val="0"/>
          <w:numId w:val="34"/>
        </w:numPr>
        <w:rPr>
          <w:highlight w:val="yellow"/>
        </w:rPr>
      </w:pPr>
      <w:r w:rsidRPr="00A83FD1">
        <w:rPr>
          <w:highlight w:val="yellow"/>
        </w:rPr>
        <w:t xml:space="preserve"> interagendo su tre linee di azione principale:</w:t>
      </w:r>
    </w:p>
    <w:p w14:paraId="3BF59F05" w14:textId="77777777" w:rsidR="00C77C37" w:rsidRPr="00A83FD1" w:rsidRDefault="00204E95">
      <w:pPr>
        <w:pStyle w:val="Paragrafoelenco"/>
        <w:numPr>
          <w:ilvl w:val="2"/>
          <w:numId w:val="34"/>
        </w:numPr>
        <w:rPr>
          <w:highlight w:val="yellow"/>
        </w:rPr>
      </w:pPr>
      <w:r w:rsidRPr="00A83FD1">
        <w:rPr>
          <w:highlight w:val="yellow"/>
        </w:rPr>
        <w:t>la mobilità intelligente (</w:t>
      </w:r>
      <w:r w:rsidRPr="00A83FD1">
        <w:rPr>
          <w:i/>
          <w:highlight w:val="yellow"/>
        </w:rPr>
        <w:t>Smart mobility</w:t>
      </w:r>
      <w:r w:rsidRPr="00A83FD1">
        <w:rPr>
          <w:highlight w:val="yellow"/>
        </w:rPr>
        <w:t>)</w:t>
      </w:r>
    </w:p>
    <w:p w14:paraId="58E252B0" w14:textId="77777777" w:rsidR="00C77C37" w:rsidRPr="00A83FD1" w:rsidRDefault="00204E95">
      <w:pPr>
        <w:pStyle w:val="Paragrafoelenco"/>
        <w:numPr>
          <w:ilvl w:val="2"/>
          <w:numId w:val="34"/>
        </w:numPr>
        <w:rPr>
          <w:highlight w:val="yellow"/>
        </w:rPr>
      </w:pPr>
      <w:r w:rsidRPr="00A83FD1">
        <w:rPr>
          <w:highlight w:val="yellow"/>
        </w:rPr>
        <w:t>il patrimonio culturale (</w:t>
      </w:r>
      <w:r w:rsidRPr="00A83FD1">
        <w:rPr>
          <w:i/>
          <w:highlight w:val="yellow"/>
        </w:rPr>
        <w:t>Cultural heritage</w:t>
      </w:r>
      <w:r w:rsidRPr="00A83FD1">
        <w:rPr>
          <w:highlight w:val="yellow"/>
        </w:rPr>
        <w:t xml:space="preserve">) </w:t>
      </w:r>
    </w:p>
    <w:p w14:paraId="7D8B1BE6" w14:textId="77777777" w:rsidR="00C77C37" w:rsidRPr="00A83FD1" w:rsidRDefault="00204E95">
      <w:pPr>
        <w:pStyle w:val="Paragrafoelenco"/>
        <w:numPr>
          <w:ilvl w:val="2"/>
          <w:numId w:val="34"/>
        </w:numPr>
        <w:rPr>
          <w:highlight w:val="yellow"/>
        </w:rPr>
      </w:pPr>
      <w:r w:rsidRPr="00A83FD1">
        <w:rPr>
          <w:highlight w:val="yellow"/>
        </w:rPr>
        <w:t xml:space="preserve">il benessere e la salute dei cittadini </w:t>
      </w:r>
      <w:r w:rsidRPr="00A83FD1">
        <w:rPr>
          <w:i/>
          <w:highlight w:val="yellow"/>
        </w:rPr>
        <w:t>(Wellbeing</w:t>
      </w:r>
      <w:r w:rsidRPr="00A83FD1">
        <w:rPr>
          <w:highlight w:val="yellow"/>
        </w:rPr>
        <w:t xml:space="preserve">), </w:t>
      </w:r>
    </w:p>
    <w:p w14:paraId="5CBA5152" w14:textId="77777777" w:rsidR="00C77C37" w:rsidRDefault="00204E95">
      <w:r w:rsidRPr="00A83FD1">
        <w:rPr>
          <w:highlight w:val="yellow"/>
        </w:rPr>
        <w:t>per estendere progressivamente i processi di digitalizzazione all’ambiente, alle infrastrutture e alla formazione.</w:t>
      </w:r>
    </w:p>
    <w:p w14:paraId="72CE9FE9" w14:textId="77777777" w:rsidR="00C77C37" w:rsidRDefault="00204E95">
      <w:pPr>
        <w:pStyle w:val="Titolo3"/>
      </w:pPr>
      <w:bookmarkStart w:id="111" w:name="_Toc157008361"/>
      <w:r>
        <w:t>Linee di azione di interesse per l’amministrazione</w:t>
      </w:r>
      <w:bookmarkEnd w:id="111"/>
    </w:p>
    <w:p w14:paraId="7BD9A7C6" w14:textId="3C548345" w:rsidR="00C77C37" w:rsidRDefault="00204E95">
      <w:pPr>
        <w:spacing w:before="0"/>
      </w:pPr>
      <w:r>
        <w:t xml:space="preserve">Con riferimento agli obiettivi </w:t>
      </w:r>
      <w:r w:rsidRPr="00191D05">
        <w:t xml:space="preserve">generali </w:t>
      </w:r>
      <w:r>
        <w:t xml:space="preserve">del Piano Nazionale per la Digitalizzazione ed a fronte delle linee di azioni definite per le Amministrazioni, in Allegato 3 sono riportate </w:t>
      </w:r>
      <w:r w:rsidR="00462A03">
        <w:t>tutte le Linee di Azione indirizzate dall’ente.</w:t>
      </w:r>
    </w:p>
    <w:p w14:paraId="68065A21" w14:textId="77777777" w:rsidR="00C77C37" w:rsidRDefault="00204E95">
      <w:pPr>
        <w:pStyle w:val="Titolo4"/>
      </w:pPr>
      <w:r>
        <w:br w:type="page"/>
      </w:r>
    </w:p>
    <w:p w14:paraId="56BC7FED" w14:textId="77777777" w:rsidR="00C77C37" w:rsidRDefault="00204E95">
      <w:pPr>
        <w:pStyle w:val="Titolo2"/>
      </w:pPr>
      <w:bookmarkStart w:id="112" w:name="_Toc93328400_Copy_1"/>
      <w:bookmarkStart w:id="113" w:name="_Toc127285889"/>
      <w:bookmarkStart w:id="114" w:name="_Toc127366269"/>
      <w:bookmarkStart w:id="115" w:name="_Toc157008362"/>
      <w:bookmarkEnd w:id="112"/>
      <w:r>
        <w:lastRenderedPageBreak/>
        <w:t>Capitolo 8. Governare la Trasformazione Digitale</w:t>
      </w:r>
      <w:bookmarkEnd w:id="113"/>
      <w:bookmarkEnd w:id="114"/>
      <w:bookmarkEnd w:id="115"/>
    </w:p>
    <w:p w14:paraId="18847C12" w14:textId="77777777" w:rsidR="00C77C37" w:rsidRDefault="00204E95">
      <w:pPr>
        <w:spacing w:before="0"/>
      </w:pPr>
      <w:r>
        <w:t>In base a quanto descritto nel Piano triennale per le pubbliche amministrazioni, le iniziative di governance, in generale, si focalizzano su diversi ambiti tra cui:</w:t>
      </w:r>
    </w:p>
    <w:p w14:paraId="2D987144" w14:textId="77777777" w:rsidR="00C77C37" w:rsidRDefault="00204E95">
      <w:pPr>
        <w:pStyle w:val="Paragrafoelenco"/>
        <w:numPr>
          <w:ilvl w:val="0"/>
          <w:numId w:val="2"/>
        </w:numPr>
      </w:pPr>
      <w:r>
        <w:t>Monitoraggio, dello stato di attuazione delle iniziative proposte nel PT di riferimento;</w:t>
      </w:r>
    </w:p>
    <w:p w14:paraId="4C3E166B" w14:textId="77777777" w:rsidR="00C77C37" w:rsidRDefault="00204E95">
      <w:pPr>
        <w:pStyle w:val="Paragrafoelenco"/>
        <w:numPr>
          <w:ilvl w:val="0"/>
          <w:numId w:val="2"/>
        </w:numPr>
      </w:pPr>
      <w:r>
        <w:t>Rafforzamento delle competenze, attraverso iniziative formative di valutazione e di valorizzazione delle competenze digitali dei dipendenti;</w:t>
      </w:r>
    </w:p>
    <w:p w14:paraId="04EEE31D" w14:textId="77777777" w:rsidR="00C77C37" w:rsidRDefault="00204E95">
      <w:pPr>
        <w:pStyle w:val="Paragrafoelenco"/>
        <w:numPr>
          <w:ilvl w:val="0"/>
          <w:numId w:val="2"/>
        </w:numPr>
      </w:pPr>
      <w:r>
        <w:t>Iniziative verso cittadini e imprese, per rafforzare la cooperazione e i servizi verso e per i cittadini e le imprese attraverso tecnologie digitali.</w:t>
      </w:r>
    </w:p>
    <w:p w14:paraId="5B8B73A6" w14:textId="77777777" w:rsidR="00C77C37" w:rsidRDefault="00204E95">
      <w:pPr>
        <w:spacing w:before="0"/>
      </w:pPr>
      <w:r>
        <w:t>Mentre gli obiettivi di questa sezione possono essere riferiti a:</w:t>
      </w:r>
    </w:p>
    <w:p w14:paraId="0FE09647" w14:textId="77777777" w:rsidR="00C77C37" w:rsidRDefault="00204E95">
      <w:pPr>
        <w:pStyle w:val="Paragrafoelenco"/>
        <w:numPr>
          <w:ilvl w:val="0"/>
          <w:numId w:val="2"/>
        </w:numPr>
      </w:pPr>
      <w:r>
        <w:t>Rafforzare gli strumenti dell’Amministrazione per l’attuazione del Piano, costruendo un sistema condiviso di obiettivi e di indicatori di performance;</w:t>
      </w:r>
    </w:p>
    <w:p w14:paraId="35F1D5A5" w14:textId="77777777" w:rsidR="00C77C37" w:rsidRDefault="00204E95">
      <w:pPr>
        <w:pStyle w:val="Paragrafoelenco"/>
        <w:numPr>
          <w:ilvl w:val="0"/>
          <w:numId w:val="2"/>
        </w:numPr>
      </w:pPr>
      <w:r>
        <w:t>Individuare le azioni e gli strumenti di raccordo con il territorio e di interazione con tutti gli stakeholder;</w:t>
      </w:r>
    </w:p>
    <w:p w14:paraId="199DE918" w14:textId="77777777" w:rsidR="00C77C37" w:rsidRDefault="00204E95">
      <w:pPr>
        <w:pStyle w:val="Paragrafoelenco"/>
        <w:numPr>
          <w:ilvl w:val="0"/>
          <w:numId w:val="2"/>
        </w:numPr>
      </w:pPr>
      <w:r>
        <w:t>Sviluppare il capitale umano, attraverso il rafforzamento delle competenze;</w:t>
      </w:r>
    </w:p>
    <w:p w14:paraId="5A040280" w14:textId="77777777" w:rsidR="00C77C37" w:rsidRDefault="00204E95">
      <w:pPr>
        <w:spacing w:before="0"/>
      </w:pPr>
      <w:bookmarkStart w:id="116" w:name="_Toc93328415"/>
      <w:r>
        <w:t>Le linee d’azione rappresentano un elemento cardine del piano triennale</w:t>
      </w:r>
      <w:bookmarkEnd w:id="116"/>
    </w:p>
    <w:p w14:paraId="66E0DEF6" w14:textId="77777777" w:rsidR="00C77C37" w:rsidRDefault="00204E95">
      <w:pPr>
        <w:spacing w:before="0"/>
      </w:pPr>
      <w:r>
        <w:t>I processi di transizione digitale in cui sono coinvolte le amministrazioni richiedono visione strategica, capacità realizzativa e efficacia della governance. Con il Piano triennale per l’informatica nella PA, nel corso di questi ultimi anni, visione e metodo sono stati declinati in azioni concrete e condivise, in raccordo con le amministrazioni centrali e locali e attraverso il coinvolgimento dei Responsabili della transizione al digitale che rappresentano l’interfaccia tra AGID e le pubbliche amministrazioni.</w:t>
      </w:r>
    </w:p>
    <w:p w14:paraId="5BD663E0" w14:textId="77777777" w:rsidR="00C77C37" w:rsidRDefault="00204E95">
      <w:pPr>
        <w:pStyle w:val="Titolo3"/>
      </w:pPr>
      <w:bookmarkStart w:id="117" w:name="_Toc127285892"/>
      <w:bookmarkStart w:id="118" w:name="_Toc127366272"/>
      <w:bookmarkStart w:id="119" w:name="_Toc157008363"/>
      <w:r>
        <w:t>Consolidamento del ruolo del Responsabile per la transizione al digitale</w:t>
      </w:r>
      <w:bookmarkEnd w:id="117"/>
      <w:bookmarkEnd w:id="118"/>
      <w:bookmarkEnd w:id="119"/>
    </w:p>
    <w:p w14:paraId="4AC2606A" w14:textId="77777777" w:rsidR="00C77C37" w:rsidRDefault="00204E95">
      <w:pPr>
        <w:spacing w:before="0"/>
      </w:pPr>
      <w:r>
        <w:t>Anche per la realizzazione delle azioni del Piano triennale 2022-2024 la figura del RTD ha un ruolo centrale non solo come interfaccia tra AGID, Dipartimento per la Trasformazione Digitale e Amministrazioni, ma all’interno dell’Amministrazione stessa come motore dei processi di cambiamento e innovazione.</w:t>
      </w:r>
    </w:p>
    <w:p w14:paraId="1DF9ACC2" w14:textId="77777777" w:rsidR="00C77C37" w:rsidRDefault="00204E95">
      <w:pPr>
        <w:spacing w:before="0"/>
      </w:pPr>
      <w:r>
        <w:t xml:space="preserve">Continua ed è rafforzato anche il processo di collaborazione tra i RTD attraverso un modello di rete che possa stimolare il confronto, valorizzare le migliori esperienze, la condivisione di conoscenze e </w:t>
      </w:r>
      <w:r>
        <w:lastRenderedPageBreak/>
        <w:t>di progettualità e la promozione di azioni di coordinamento tra le pubbliche amministrazioni, sia nell’ambito dei progetti e delle azioni del Piano triennale per l'informatica nella PA, sia nell’ambito di nuove iniziative che maturino dai territori.</w:t>
      </w:r>
    </w:p>
    <w:p w14:paraId="0E6557AF" w14:textId="77777777" w:rsidR="00C77C37" w:rsidRDefault="00204E95">
      <w:pPr>
        <w:pStyle w:val="Titolo3"/>
      </w:pPr>
      <w:bookmarkStart w:id="120" w:name="_Toc127285893"/>
      <w:bookmarkStart w:id="121" w:name="_Toc127366273"/>
      <w:bookmarkStart w:id="122" w:name="_Toc157008364"/>
      <w:r>
        <w:t>Il monitoraggio del Piano triennale</w:t>
      </w:r>
      <w:bookmarkEnd w:id="120"/>
      <w:bookmarkEnd w:id="121"/>
      <w:bookmarkEnd w:id="122"/>
    </w:p>
    <w:p w14:paraId="60E199CE" w14:textId="77777777" w:rsidR="00C77C37" w:rsidRDefault="00204E95">
      <w:pPr>
        <w:spacing w:before="0"/>
      </w:pPr>
      <w:r>
        <w:t>Il monitoraggio del Piano triennale nazionale si compone delle seguenti attività:</w:t>
      </w:r>
    </w:p>
    <w:p w14:paraId="49D66DBE" w14:textId="77777777" w:rsidR="00C77C37" w:rsidRDefault="00204E95">
      <w:pPr>
        <w:pStyle w:val="Paragrafoelenco"/>
        <w:numPr>
          <w:ilvl w:val="0"/>
          <w:numId w:val="7"/>
        </w:numPr>
      </w:pPr>
      <w:r>
        <w:t>misurazione dei risultati (R.A.) conseguiti dal sistema PA per ciascuna componente tecnologica e non tecnologica del Piano;</w:t>
      </w:r>
    </w:p>
    <w:p w14:paraId="423D002B" w14:textId="77777777" w:rsidR="00C77C37" w:rsidRDefault="00204E95">
      <w:pPr>
        <w:pStyle w:val="Paragrafoelenco"/>
        <w:numPr>
          <w:ilvl w:val="0"/>
          <w:numId w:val="7"/>
        </w:numPr>
      </w:pPr>
      <w:r>
        <w:t xml:space="preserve">verifica dello stato di avanzamento dell’attuazione delle linee d’azione (L.A.) da parte delle PA centrali e locali componenti il </w:t>
      </w:r>
      <w:r>
        <w:rPr>
          <w:i/>
        </w:rPr>
        <w:t xml:space="preserve">panel </w:t>
      </w:r>
      <w:r>
        <w:t>di riferimento del Piano stesso;</w:t>
      </w:r>
    </w:p>
    <w:p w14:paraId="393C4BE9" w14:textId="77777777" w:rsidR="00C77C37" w:rsidRDefault="00204E95">
      <w:pPr>
        <w:pStyle w:val="Paragrafoelenco"/>
        <w:numPr>
          <w:ilvl w:val="0"/>
          <w:numId w:val="7"/>
        </w:numPr>
      </w:pPr>
      <w:r>
        <w:t xml:space="preserve">analisi della spesa e degli investimenti pubblici in ICT delle PA centrali e locali componenti il </w:t>
      </w:r>
      <w:r>
        <w:rPr>
          <w:i/>
        </w:rPr>
        <w:t>panel</w:t>
      </w:r>
      <w:r>
        <w:t>.</w:t>
      </w:r>
    </w:p>
    <w:p w14:paraId="5938FEC3" w14:textId="77777777" w:rsidR="00C77C37" w:rsidRDefault="00204E95">
      <w:pPr>
        <w:spacing w:before="0"/>
      </w:pPr>
      <w:r>
        <w:t>Con la finalità di ottenere una visione delle attività svolte dalle amministrazioni in relazione alla loro coerenza con il Piano triennale con la possibilità di introdurre azioni correttive necessarie per il raggiungimento degli obiettivi previsti.</w:t>
      </w:r>
    </w:p>
    <w:p w14:paraId="7A9265DD" w14:textId="77777777" w:rsidR="00C77C37" w:rsidRDefault="00204E95">
      <w:pPr>
        <w:spacing w:before="0"/>
      </w:pPr>
      <w:r>
        <w:t xml:space="preserve">I dati e le informazioni raccolti come </w:t>
      </w:r>
      <w:r>
        <w:rPr>
          <w:i/>
        </w:rPr>
        <w:t xml:space="preserve">baseline </w:t>
      </w:r>
      <w:r>
        <w:t>del sistema di monitoraggio permettono, abbinati alla logica di aggiornamento (</w:t>
      </w:r>
      <w:r>
        <w:rPr>
          <w:i/>
        </w:rPr>
        <w:t>rolling</w:t>
      </w:r>
      <w:r>
        <w:t xml:space="preserve">) annuale del Piano triennale, di intervenire tempestivamente per inserire correttivi sia sulla catena Obiettivo-Risultato Atteso-Target sia sulle relative </w:t>
      </w:r>
      <w:r>
        <w:rPr>
          <w:i/>
        </w:rPr>
        <w:t xml:space="preserve">roadmap </w:t>
      </w:r>
      <w:r>
        <w:t>di Linee di Azione.</w:t>
      </w:r>
    </w:p>
    <w:p w14:paraId="5D5AC61F" w14:textId="77777777" w:rsidR="00C77C37" w:rsidRDefault="00204E95">
      <w:pPr>
        <w:pStyle w:val="Titolo3"/>
      </w:pPr>
      <w:bookmarkStart w:id="123" w:name="_Toc157008365"/>
      <w:r>
        <w:t>Obiettivi dell’amministrazione e risultati attesi</w:t>
      </w:r>
      <w:bookmarkEnd w:id="123"/>
    </w:p>
    <w:p w14:paraId="7E6F7065" w14:textId="229AF83D" w:rsidR="00C77C37" w:rsidRPr="00A83FD1" w:rsidRDefault="00204E95">
      <w:pPr>
        <w:spacing w:before="0"/>
        <w:rPr>
          <w:highlight w:val="yellow"/>
        </w:rPr>
      </w:pPr>
      <w:r>
        <w:t xml:space="preserve">L’Ente non è nel “panel” di monitoraggio descritto precedentemente, ma è consapevole dell’importanza del monitoraggio del proprio piano strategico </w:t>
      </w:r>
      <w:r w:rsidRPr="00A83FD1">
        <w:rPr>
          <w:highlight w:val="yellow"/>
        </w:rPr>
        <w:t xml:space="preserve">che </w:t>
      </w:r>
      <w:r w:rsidR="008B3E59" w:rsidRPr="00A83FD1">
        <w:rPr>
          <w:highlight w:val="yellow"/>
        </w:rPr>
        <w:t>è</w:t>
      </w:r>
      <w:r w:rsidRPr="00A83FD1">
        <w:rPr>
          <w:highlight w:val="yellow"/>
        </w:rPr>
        <w:t>, per definizione, affidato all’ RTD.</w:t>
      </w:r>
    </w:p>
    <w:p w14:paraId="4DBA46C4" w14:textId="19D5B9C3" w:rsidR="008B3E59" w:rsidRDefault="008B3E59">
      <w:pPr>
        <w:spacing w:before="0"/>
      </w:pPr>
      <w:r w:rsidRPr="00A83FD1">
        <w:rPr>
          <w:highlight w:val="yellow"/>
        </w:rPr>
        <w:t>L’ RTD ha nei propri obiettivi personali l’emissione</w:t>
      </w:r>
      <w:r w:rsidR="00863A4B" w:rsidRPr="00A83FD1">
        <w:rPr>
          <w:highlight w:val="yellow"/>
        </w:rPr>
        <w:t xml:space="preserve"> e l’aggiornamento </w:t>
      </w:r>
      <w:r w:rsidRPr="00A83FD1">
        <w:rPr>
          <w:highlight w:val="yellow"/>
        </w:rPr>
        <w:t xml:space="preserve"> </w:t>
      </w:r>
      <w:r w:rsidR="00863A4B" w:rsidRPr="00A83FD1">
        <w:rPr>
          <w:highlight w:val="yellow"/>
        </w:rPr>
        <w:t>del piano oltre</w:t>
      </w:r>
      <w:r w:rsidRPr="00A83FD1">
        <w:rPr>
          <w:highlight w:val="yellow"/>
        </w:rPr>
        <w:t xml:space="preserve"> </w:t>
      </w:r>
      <w:r w:rsidR="00863A4B" w:rsidRPr="00A83FD1">
        <w:rPr>
          <w:highlight w:val="yellow"/>
        </w:rPr>
        <w:t>a</w:t>
      </w:r>
      <w:r w:rsidRPr="00A83FD1">
        <w:rPr>
          <w:highlight w:val="yellow"/>
        </w:rPr>
        <w:t xml:space="preserve">l controllo delle attività inerenti il piano </w:t>
      </w:r>
      <w:r w:rsidR="00863A4B" w:rsidRPr="00A83FD1">
        <w:rPr>
          <w:highlight w:val="yellow"/>
        </w:rPr>
        <w:t xml:space="preserve">stesso, </w:t>
      </w:r>
      <w:r w:rsidRPr="00A83FD1">
        <w:rPr>
          <w:highlight w:val="yellow"/>
        </w:rPr>
        <w:t>sia per l’anno 2023 che per l’anno 2024.</w:t>
      </w:r>
    </w:p>
    <w:p w14:paraId="1437CA6E" w14:textId="15D1BACB" w:rsidR="00C77C37" w:rsidRDefault="00C77C37" w:rsidP="008B3E59">
      <w:pPr>
        <w:spacing w:before="0"/>
        <w:ind w:left="0"/>
      </w:pPr>
    </w:p>
    <w:p w14:paraId="3B5D9BA1" w14:textId="77777777" w:rsidR="00C77C37" w:rsidRDefault="00204E95">
      <w:pPr>
        <w:pStyle w:val="Titolo3"/>
      </w:pPr>
      <w:bookmarkStart w:id="124" w:name="_Toc157008366"/>
      <w:r>
        <w:lastRenderedPageBreak/>
        <w:t>Linee di azione di interesse per l’amministrazione</w:t>
      </w:r>
      <w:bookmarkEnd w:id="124"/>
    </w:p>
    <w:p w14:paraId="112835C6" w14:textId="61F3964A" w:rsidR="00C77C37" w:rsidRDefault="00204E95">
      <w:pPr>
        <w:spacing w:before="0"/>
      </w:pPr>
      <w:r>
        <w:t xml:space="preserve">Con riferimento agli obiettivi </w:t>
      </w:r>
      <w:r w:rsidRPr="00863A4B">
        <w:rPr>
          <w:color w:val="000000" w:themeColor="text1"/>
        </w:rPr>
        <w:t xml:space="preserve">generali </w:t>
      </w:r>
      <w:r>
        <w:t xml:space="preserve">del Piano Nazionale per la Digitalizzazione ed a fronte delle linee di azioni definite per le Amministrazioni, in Allegato 3 sono riportate </w:t>
      </w:r>
      <w:r w:rsidR="00462A03">
        <w:t>tutte le Linee di Azione indirizzate dall’ente.</w:t>
      </w:r>
    </w:p>
    <w:p w14:paraId="4EA3AEF1" w14:textId="77777777" w:rsidR="00C77C37" w:rsidRDefault="00204E95">
      <w:pPr>
        <w:pStyle w:val="Titolo4"/>
      </w:pPr>
      <w:r>
        <w:br w:type="page"/>
      </w:r>
    </w:p>
    <w:p w14:paraId="787B2E5C" w14:textId="77777777" w:rsidR="00C77C37" w:rsidRDefault="00204E95">
      <w:pPr>
        <w:pStyle w:val="Titolo1"/>
        <w:spacing w:before="0" w:line="240" w:lineRule="auto"/>
      </w:pPr>
      <w:bookmarkStart w:id="125" w:name="_Toc127285895"/>
      <w:bookmarkStart w:id="126" w:name="_Toc127366277"/>
      <w:bookmarkStart w:id="127" w:name="_Toc157008367"/>
      <w:r>
        <w:lastRenderedPageBreak/>
        <w:t>Parte IV</w:t>
      </w:r>
      <w:r>
        <w:rPr>
          <w:vertAlign w:val="superscript"/>
        </w:rPr>
        <w:t>a</w:t>
      </w:r>
      <w:r>
        <w:t xml:space="preserve"> - Allegati</w:t>
      </w:r>
      <w:bookmarkEnd w:id="125"/>
      <w:bookmarkEnd w:id="126"/>
      <w:bookmarkEnd w:id="127"/>
    </w:p>
    <w:p w14:paraId="28AE8552" w14:textId="20298179" w:rsidR="00C77C37" w:rsidRDefault="00204E95">
      <w:pPr>
        <w:pStyle w:val="Titolo2"/>
      </w:pPr>
      <w:bookmarkStart w:id="128" w:name="_Toc157008146"/>
      <w:bookmarkStart w:id="129" w:name="_Toc127285896"/>
      <w:bookmarkStart w:id="130" w:name="_Toc127366278"/>
      <w:bookmarkStart w:id="131" w:name="_Toc157008368"/>
      <w:bookmarkStart w:id="132" w:name="_Toc143123"/>
      <w:r>
        <w:t>Allegato 1:</w:t>
      </w:r>
      <w:bookmarkEnd w:id="128"/>
      <w:r w:rsidR="001E0390">
        <w:t xml:space="preserve"> </w:t>
      </w:r>
      <w:r w:rsidR="001E0390">
        <w:tab/>
      </w:r>
      <w:r>
        <w:t>Contesto Normativo e Strategico</w:t>
      </w:r>
      <w:bookmarkEnd w:id="129"/>
      <w:bookmarkEnd w:id="130"/>
      <w:bookmarkEnd w:id="131"/>
      <w:r>
        <w:t xml:space="preserve"> </w:t>
      </w:r>
      <w:bookmarkEnd w:id="132"/>
    </w:p>
    <w:p w14:paraId="672A5FB4" w14:textId="77777777" w:rsidR="00462A03" w:rsidRDefault="00462A03" w:rsidP="00462A03"/>
    <w:p w14:paraId="4A3A8CE3" w14:textId="6B933176" w:rsidR="00C77C37" w:rsidRDefault="00462A03" w:rsidP="00462A03">
      <w:r>
        <w:t xml:space="preserve">Per quanto concerne il Contesto Normativo e strategico si fa riferimento </w:t>
      </w:r>
      <w:r w:rsidR="007249C2">
        <w:t>alle norme</w:t>
      </w:r>
      <w:r>
        <w:t xml:space="preserve"> riportate sui modelli delli del Paino dei Sistemi sul sito AgID.</w:t>
      </w:r>
    </w:p>
    <w:p w14:paraId="157056DA" w14:textId="050CC8A4" w:rsidR="00462A03" w:rsidRDefault="00462A03" w:rsidP="00462A03">
      <w:pPr>
        <w:spacing w:before="0" w:line="240" w:lineRule="auto"/>
        <w:ind w:right="0"/>
        <w:sectPr w:rsidR="00462A03" w:rsidSect="00DD61E3">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20" w:footer="265" w:gutter="0"/>
          <w:cols w:space="720"/>
          <w:formProt w:val="0"/>
          <w:docGrid w:linePitch="360" w:charSpace="4096"/>
        </w:sectPr>
      </w:pPr>
    </w:p>
    <w:p w14:paraId="11C0A55E" w14:textId="77777777" w:rsidR="00C77C37" w:rsidRDefault="00204E95">
      <w:pPr>
        <w:pStyle w:val="Titolo2"/>
      </w:pPr>
      <w:bookmarkStart w:id="133" w:name="_Toc157008369"/>
      <w:r>
        <w:lastRenderedPageBreak/>
        <w:t xml:space="preserve">Allegato 2: </w:t>
      </w:r>
      <w:r>
        <w:tab/>
        <w:t>Obiettivi e risultati attesi definiti da AgID per le Pubbliche Amministrazioni.</w:t>
      </w:r>
      <w:bookmarkEnd w:id="133"/>
    </w:p>
    <w:p w14:paraId="2694B528" w14:textId="77777777" w:rsidR="00C77C37" w:rsidRDefault="00C77C37">
      <w:pPr>
        <w:spacing w:before="0"/>
        <w:ind w:left="0" w:right="0"/>
        <w:jc w:val="left"/>
      </w:pP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59AF027B"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31F6873D" w14:textId="77777777" w:rsidR="00C77C37" w:rsidRDefault="00204E95">
            <w:pPr>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t>SERVIZI</w:t>
            </w:r>
            <w:r>
              <w:rPr>
                <w:rFonts w:eastAsia="Times New Roman" w:cs="Calibri"/>
                <w:color w:val="FFFFFF"/>
                <w:sz w:val="16"/>
                <w:szCs w:val="16"/>
                <w:lang w:eastAsia="en-GB"/>
              </w:rPr>
              <w:t xml:space="preserve"> </w:t>
            </w:r>
          </w:p>
        </w:tc>
      </w:tr>
      <w:tr w:rsidR="00C77C37" w14:paraId="7E2D9BCE"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29FF01ED"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Ob. </w:t>
            </w:r>
          </w:p>
        </w:tc>
        <w:tc>
          <w:tcPr>
            <w:tcW w:w="2282" w:type="dxa"/>
            <w:tcBorders>
              <w:bottom w:val="single" w:sz="8" w:space="0" w:color="000000"/>
              <w:right w:val="single" w:sz="4" w:space="0" w:color="000000"/>
            </w:tcBorders>
            <w:shd w:val="clear" w:color="000000" w:fill="757171"/>
            <w:vAlign w:val="bottom"/>
          </w:tcPr>
          <w:p w14:paraId="36F9A163"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21B126F6"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24307699"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72428D24"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640A955C" w14:textId="77777777">
        <w:trPr>
          <w:trHeight w:val="900"/>
        </w:trPr>
        <w:tc>
          <w:tcPr>
            <w:tcW w:w="697" w:type="dxa"/>
            <w:vMerge w:val="restart"/>
            <w:tcBorders>
              <w:left w:val="single" w:sz="8" w:space="0" w:color="000000"/>
              <w:bottom w:val="double" w:sz="4" w:space="0" w:color="000000"/>
              <w:right w:val="single" w:sz="4" w:space="0" w:color="000000"/>
            </w:tcBorders>
            <w:shd w:val="clear" w:color="auto" w:fill="auto"/>
            <w:vAlign w:val="center"/>
          </w:tcPr>
          <w:p w14:paraId="36BF263F"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OB.1.1 </w:t>
            </w:r>
          </w:p>
        </w:tc>
        <w:tc>
          <w:tcPr>
            <w:tcW w:w="2282" w:type="dxa"/>
            <w:vMerge w:val="restart"/>
            <w:tcBorders>
              <w:left w:val="single" w:sz="4" w:space="0" w:color="000000"/>
              <w:bottom w:val="double" w:sz="4" w:space="0" w:color="000000"/>
              <w:right w:val="single" w:sz="4" w:space="0" w:color="000000"/>
            </w:tcBorders>
            <w:shd w:val="clear" w:color="auto" w:fill="auto"/>
            <w:vAlign w:val="center"/>
          </w:tcPr>
          <w:p w14:paraId="5E2B14D4"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la capacità di generare ed erogare servizi digitali </w:t>
            </w:r>
          </w:p>
        </w:tc>
        <w:tc>
          <w:tcPr>
            <w:tcW w:w="1281" w:type="dxa"/>
            <w:tcBorders>
              <w:bottom w:val="single" w:sz="4" w:space="0" w:color="000000"/>
              <w:right w:val="single" w:sz="4" w:space="0" w:color="000000"/>
            </w:tcBorders>
            <w:shd w:val="clear" w:color="auto" w:fill="auto"/>
            <w:vAlign w:val="center"/>
          </w:tcPr>
          <w:p w14:paraId="35CAEFF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R.A.1.1a </w:t>
            </w:r>
          </w:p>
        </w:tc>
        <w:tc>
          <w:tcPr>
            <w:tcW w:w="4279" w:type="dxa"/>
            <w:tcBorders>
              <w:bottom w:val="single" w:sz="4" w:space="0" w:color="000000"/>
              <w:right w:val="single" w:sz="4" w:space="0" w:color="000000"/>
            </w:tcBorders>
            <w:shd w:val="clear" w:color="auto" w:fill="auto"/>
            <w:vAlign w:val="center"/>
          </w:tcPr>
          <w:p w14:paraId="4564C69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 modello di riuso di software tra le amministrazioni in attuazione delle Linee Guida AGID sull’acquisizione e il riuso del software per la Pubblica Amministrazione </w:t>
            </w:r>
          </w:p>
        </w:tc>
        <w:tc>
          <w:tcPr>
            <w:tcW w:w="4281" w:type="dxa"/>
            <w:tcBorders>
              <w:bottom w:val="single" w:sz="4" w:space="0" w:color="000000"/>
              <w:right w:val="single" w:sz="8" w:space="0" w:color="000000"/>
            </w:tcBorders>
            <w:shd w:val="clear" w:color="auto" w:fill="auto"/>
            <w:vAlign w:val="center"/>
          </w:tcPr>
          <w:p w14:paraId="4623BCB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 modello di riuso di software tra le amministrazioni in attuazione delle Linee Guida AGID sull’acquisizione e il riuso del software per la Pubblica Amministrazione </w:t>
            </w:r>
          </w:p>
        </w:tc>
      </w:tr>
      <w:tr w:rsidR="00C77C37" w14:paraId="12CAE8CF" w14:textId="77777777">
        <w:trPr>
          <w:trHeight w:val="450"/>
        </w:trPr>
        <w:tc>
          <w:tcPr>
            <w:tcW w:w="697" w:type="dxa"/>
            <w:vMerge/>
            <w:tcBorders>
              <w:left w:val="single" w:sz="8" w:space="0" w:color="000000"/>
              <w:bottom w:val="double" w:sz="6" w:space="0" w:color="000000"/>
              <w:right w:val="single" w:sz="4" w:space="0" w:color="000000"/>
            </w:tcBorders>
            <w:vAlign w:val="center"/>
          </w:tcPr>
          <w:p w14:paraId="0510DA12"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728A8A60"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47EB7AA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R.A.1.1b </w:t>
            </w:r>
          </w:p>
        </w:tc>
        <w:tc>
          <w:tcPr>
            <w:tcW w:w="4279" w:type="dxa"/>
            <w:tcBorders>
              <w:bottom w:val="single" w:sz="4" w:space="0" w:color="000000"/>
              <w:right w:val="single" w:sz="4" w:space="0" w:color="000000"/>
            </w:tcBorders>
            <w:shd w:val="clear" w:color="auto" w:fill="auto"/>
            <w:vAlign w:val="center"/>
          </w:tcPr>
          <w:p w14:paraId="2FCD93E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adozione del programma di abilitazione al cloud </w:t>
            </w:r>
          </w:p>
        </w:tc>
        <w:tc>
          <w:tcPr>
            <w:tcW w:w="4281" w:type="dxa"/>
            <w:tcBorders>
              <w:bottom w:val="single" w:sz="4" w:space="0" w:color="000000"/>
              <w:right w:val="single" w:sz="8" w:space="0" w:color="000000"/>
            </w:tcBorders>
            <w:shd w:val="clear" w:color="auto" w:fill="auto"/>
            <w:vAlign w:val="center"/>
          </w:tcPr>
          <w:p w14:paraId="7CB04EC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r>
      <w:tr w:rsidR="00C77C37" w14:paraId="6E0C6C57" w14:textId="77777777">
        <w:trPr>
          <w:trHeight w:val="450"/>
        </w:trPr>
        <w:tc>
          <w:tcPr>
            <w:tcW w:w="697" w:type="dxa"/>
            <w:vMerge/>
            <w:tcBorders>
              <w:left w:val="single" w:sz="8" w:space="0" w:color="000000"/>
              <w:bottom w:val="double" w:sz="6" w:space="0" w:color="000000"/>
              <w:right w:val="single" w:sz="4" w:space="0" w:color="000000"/>
            </w:tcBorders>
            <w:vAlign w:val="center"/>
          </w:tcPr>
          <w:p w14:paraId="0D520FD0"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20356466"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3B595B9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R.A.1.1c </w:t>
            </w:r>
          </w:p>
        </w:tc>
        <w:tc>
          <w:tcPr>
            <w:tcW w:w="4279" w:type="dxa"/>
            <w:tcBorders>
              <w:bottom w:val="single" w:sz="4" w:space="0" w:color="000000"/>
              <w:right w:val="single" w:sz="4" w:space="0" w:color="000000"/>
            </w:tcBorders>
            <w:shd w:val="clear" w:color="auto" w:fill="auto"/>
            <w:vAlign w:val="center"/>
          </w:tcPr>
          <w:p w14:paraId="6E1CAFE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Ampliamento dell’offerta del Catalogo dei servizi cloud qualificati </w:t>
            </w:r>
          </w:p>
        </w:tc>
        <w:tc>
          <w:tcPr>
            <w:tcW w:w="4281" w:type="dxa"/>
            <w:tcBorders>
              <w:bottom w:val="single" w:sz="4" w:space="0" w:color="000000"/>
              <w:right w:val="single" w:sz="8" w:space="0" w:color="000000"/>
            </w:tcBorders>
            <w:shd w:val="clear" w:color="auto" w:fill="auto"/>
            <w:vAlign w:val="center"/>
          </w:tcPr>
          <w:p w14:paraId="5D96677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r>
      <w:tr w:rsidR="00C77C37" w14:paraId="7C1FF78F" w14:textId="77777777">
        <w:trPr>
          <w:trHeight w:val="465"/>
        </w:trPr>
        <w:tc>
          <w:tcPr>
            <w:tcW w:w="697" w:type="dxa"/>
            <w:vMerge/>
            <w:tcBorders>
              <w:left w:val="single" w:sz="8" w:space="0" w:color="000000"/>
              <w:bottom w:val="double" w:sz="4" w:space="0" w:color="000000"/>
              <w:right w:val="single" w:sz="4" w:space="0" w:color="000000"/>
            </w:tcBorders>
            <w:vAlign w:val="center"/>
          </w:tcPr>
          <w:p w14:paraId="6DA52835"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4" w:space="0" w:color="000000"/>
              <w:right w:val="single" w:sz="4" w:space="0" w:color="000000"/>
            </w:tcBorders>
            <w:vAlign w:val="center"/>
          </w:tcPr>
          <w:p w14:paraId="74047AF4"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4" w:space="0" w:color="000000"/>
              <w:right w:val="single" w:sz="4" w:space="0" w:color="000000"/>
            </w:tcBorders>
            <w:shd w:val="clear" w:color="auto" w:fill="auto"/>
            <w:vAlign w:val="center"/>
          </w:tcPr>
          <w:p w14:paraId="6AEDCCA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R.A.1.1d </w:t>
            </w:r>
          </w:p>
        </w:tc>
        <w:tc>
          <w:tcPr>
            <w:tcW w:w="4279" w:type="dxa"/>
            <w:tcBorders>
              <w:bottom w:val="double" w:sz="4" w:space="0" w:color="000000"/>
              <w:right w:val="single" w:sz="4" w:space="0" w:color="000000"/>
            </w:tcBorders>
            <w:shd w:val="clear" w:color="auto" w:fill="auto"/>
            <w:vAlign w:val="center"/>
          </w:tcPr>
          <w:p w14:paraId="3FD1707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 monitoraggio, da parte delle Amministrazioni, della fruizione dei servizi digitali </w:t>
            </w:r>
          </w:p>
        </w:tc>
        <w:tc>
          <w:tcPr>
            <w:tcW w:w="4281" w:type="dxa"/>
            <w:tcBorders>
              <w:bottom w:val="double" w:sz="4" w:space="0" w:color="000000"/>
              <w:right w:val="single" w:sz="8" w:space="0" w:color="000000"/>
            </w:tcBorders>
            <w:shd w:val="clear" w:color="auto" w:fill="auto"/>
            <w:vAlign w:val="center"/>
          </w:tcPr>
          <w:p w14:paraId="60D590C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 monitoraggio, da parte delle Amministrazioni, della fruizione dei servizi digitali </w:t>
            </w:r>
          </w:p>
        </w:tc>
      </w:tr>
      <w:tr w:rsidR="00C77C37" w14:paraId="1373A5CB" w14:textId="77777777">
        <w:trPr>
          <w:trHeight w:val="465"/>
        </w:trPr>
        <w:tc>
          <w:tcPr>
            <w:tcW w:w="697" w:type="dxa"/>
            <w:vMerge w:val="restart"/>
            <w:tcBorders>
              <w:top w:val="double" w:sz="4" w:space="0" w:color="000000"/>
              <w:left w:val="single" w:sz="8" w:space="0" w:color="000000"/>
              <w:bottom w:val="double" w:sz="6" w:space="0" w:color="000000"/>
              <w:right w:val="single" w:sz="4" w:space="0" w:color="000000"/>
            </w:tcBorders>
            <w:shd w:val="clear" w:color="auto" w:fill="auto"/>
            <w:vAlign w:val="center"/>
          </w:tcPr>
          <w:p w14:paraId="71691DE9"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OB.1.2 </w:t>
            </w:r>
          </w:p>
        </w:tc>
        <w:tc>
          <w:tcPr>
            <w:tcW w:w="2282" w:type="dxa"/>
            <w:vMerge w:val="restart"/>
            <w:tcBorders>
              <w:top w:val="double" w:sz="4" w:space="0" w:color="000000"/>
              <w:left w:val="single" w:sz="4" w:space="0" w:color="000000"/>
              <w:bottom w:val="double" w:sz="6" w:space="0" w:color="000000"/>
              <w:right w:val="single" w:sz="4" w:space="0" w:color="000000"/>
            </w:tcBorders>
            <w:shd w:val="clear" w:color="auto" w:fill="auto"/>
            <w:vAlign w:val="center"/>
          </w:tcPr>
          <w:p w14:paraId="68AD6250"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l’esperienza d’uso e </w:t>
            </w:r>
            <w:r>
              <w:rPr>
                <w:rFonts w:eastAsia="Times New Roman" w:cs="Calibri"/>
                <w:color w:val="000000"/>
                <w:sz w:val="16"/>
                <w:szCs w:val="16"/>
                <w:lang w:eastAsia="en-GB"/>
              </w:rPr>
              <w:lastRenderedPageBreak/>
              <w:t xml:space="preserve">l’accessibilità dei servizi </w:t>
            </w:r>
          </w:p>
        </w:tc>
        <w:tc>
          <w:tcPr>
            <w:tcW w:w="1281" w:type="dxa"/>
            <w:tcBorders>
              <w:top w:val="double" w:sz="4" w:space="0" w:color="000000"/>
              <w:bottom w:val="single" w:sz="4" w:space="0" w:color="000000"/>
              <w:right w:val="single" w:sz="4" w:space="0" w:color="000000"/>
            </w:tcBorders>
            <w:shd w:val="clear" w:color="auto" w:fill="auto"/>
            <w:vAlign w:val="center"/>
          </w:tcPr>
          <w:p w14:paraId="5EA17BD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R.A.1.2a </w:t>
            </w:r>
          </w:p>
        </w:tc>
        <w:tc>
          <w:tcPr>
            <w:tcW w:w="4279" w:type="dxa"/>
            <w:tcBorders>
              <w:top w:val="double" w:sz="4" w:space="0" w:color="000000"/>
              <w:bottom w:val="single" w:sz="4" w:space="0" w:color="000000"/>
              <w:right w:val="single" w:sz="4" w:space="0" w:color="000000"/>
            </w:tcBorders>
            <w:shd w:val="clear" w:color="auto" w:fill="auto"/>
            <w:vAlign w:val="center"/>
          </w:tcPr>
          <w:p w14:paraId="7418CCB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e diffusione dei modelli standard per lo sviluppo </w:t>
            </w:r>
            <w:r>
              <w:rPr>
                <w:rFonts w:eastAsia="Times New Roman" w:cs="Calibri"/>
                <w:color w:val="000000"/>
                <w:sz w:val="16"/>
                <w:szCs w:val="16"/>
                <w:lang w:eastAsia="en-GB"/>
              </w:rPr>
              <w:lastRenderedPageBreak/>
              <w:t xml:space="preserve">di siti disponibili in Designers Italia </w:t>
            </w:r>
          </w:p>
        </w:tc>
        <w:tc>
          <w:tcPr>
            <w:tcW w:w="4281" w:type="dxa"/>
            <w:tcBorders>
              <w:top w:val="double" w:sz="4" w:space="0" w:color="000000"/>
              <w:bottom w:val="single" w:sz="4" w:space="0" w:color="000000"/>
              <w:right w:val="single" w:sz="8" w:space="0" w:color="000000"/>
            </w:tcBorders>
            <w:shd w:val="clear" w:color="auto" w:fill="auto"/>
            <w:vAlign w:val="center"/>
          </w:tcPr>
          <w:p w14:paraId="7672214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Incremento e diffusione dei modelli standard per lo sviluppo </w:t>
            </w:r>
            <w:r>
              <w:rPr>
                <w:rFonts w:eastAsia="Times New Roman" w:cs="Calibri"/>
                <w:color w:val="000000"/>
                <w:sz w:val="16"/>
                <w:szCs w:val="16"/>
                <w:lang w:eastAsia="en-GB"/>
              </w:rPr>
              <w:lastRenderedPageBreak/>
              <w:t xml:space="preserve">di siti disponibili in Designers Italia </w:t>
            </w:r>
          </w:p>
        </w:tc>
      </w:tr>
      <w:tr w:rsidR="00C77C37" w14:paraId="6AFE3DF0" w14:textId="77777777">
        <w:trPr>
          <w:trHeight w:val="450"/>
        </w:trPr>
        <w:tc>
          <w:tcPr>
            <w:tcW w:w="697" w:type="dxa"/>
            <w:vMerge/>
            <w:tcBorders>
              <w:top w:val="single" w:sz="4" w:space="0" w:color="000000"/>
              <w:left w:val="single" w:sz="8" w:space="0" w:color="000000"/>
              <w:bottom w:val="double" w:sz="6" w:space="0" w:color="000000"/>
              <w:right w:val="single" w:sz="4" w:space="0" w:color="000000"/>
            </w:tcBorders>
            <w:vAlign w:val="center"/>
          </w:tcPr>
          <w:p w14:paraId="56AC201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top w:val="single" w:sz="4" w:space="0" w:color="000000"/>
              <w:left w:val="single" w:sz="4" w:space="0" w:color="000000"/>
              <w:bottom w:val="double" w:sz="6" w:space="0" w:color="000000"/>
              <w:right w:val="single" w:sz="4" w:space="0" w:color="000000"/>
            </w:tcBorders>
            <w:vAlign w:val="center"/>
          </w:tcPr>
          <w:p w14:paraId="245890F7"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top w:val="single" w:sz="4" w:space="0" w:color="000000"/>
              <w:bottom w:val="single" w:sz="4" w:space="0" w:color="000000"/>
              <w:right w:val="single" w:sz="4" w:space="0" w:color="000000"/>
            </w:tcBorders>
            <w:shd w:val="clear" w:color="auto" w:fill="auto"/>
            <w:vAlign w:val="center"/>
          </w:tcPr>
          <w:p w14:paraId="74BE0F7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R.A.1.2b </w:t>
            </w:r>
          </w:p>
        </w:tc>
        <w:tc>
          <w:tcPr>
            <w:tcW w:w="4279" w:type="dxa"/>
            <w:tcBorders>
              <w:top w:val="single" w:sz="4" w:space="0" w:color="000000"/>
              <w:bottom w:val="single" w:sz="4" w:space="0" w:color="000000"/>
              <w:right w:val="single" w:sz="4" w:space="0" w:color="000000"/>
            </w:tcBorders>
            <w:shd w:val="clear" w:color="auto" w:fill="auto"/>
            <w:vAlign w:val="center"/>
          </w:tcPr>
          <w:p w14:paraId="3A637FB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dei test di usabilità nelle amministrazioni per agevolare il feedback e le valutazioni da parte degli utenti </w:t>
            </w:r>
          </w:p>
        </w:tc>
        <w:tc>
          <w:tcPr>
            <w:tcW w:w="4281" w:type="dxa"/>
            <w:tcBorders>
              <w:top w:val="single" w:sz="4" w:space="0" w:color="000000"/>
              <w:bottom w:val="single" w:sz="4" w:space="0" w:color="000000"/>
              <w:right w:val="single" w:sz="8" w:space="0" w:color="000000"/>
            </w:tcBorders>
            <w:shd w:val="clear" w:color="auto" w:fill="auto"/>
            <w:vAlign w:val="center"/>
          </w:tcPr>
          <w:p w14:paraId="1626D67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dei test di usabilità nelle amministrazioni per agevolare il feedback e le valutazioni da parte degli utenti </w:t>
            </w:r>
          </w:p>
        </w:tc>
      </w:tr>
      <w:tr w:rsidR="00C77C37" w14:paraId="76490537" w14:textId="77777777">
        <w:trPr>
          <w:trHeight w:val="690"/>
        </w:trPr>
        <w:tc>
          <w:tcPr>
            <w:tcW w:w="697" w:type="dxa"/>
            <w:vMerge/>
            <w:tcBorders>
              <w:left w:val="single" w:sz="8" w:space="0" w:color="000000"/>
              <w:bottom w:val="double" w:sz="6" w:space="0" w:color="000000"/>
              <w:right w:val="single" w:sz="4" w:space="0" w:color="000000"/>
            </w:tcBorders>
            <w:vAlign w:val="center"/>
          </w:tcPr>
          <w:p w14:paraId="369B0E8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758A4CDA"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55B33D4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R.A.1.2c </w:t>
            </w:r>
          </w:p>
        </w:tc>
        <w:tc>
          <w:tcPr>
            <w:tcW w:w="4279" w:type="dxa"/>
            <w:tcBorders>
              <w:bottom w:val="double" w:sz="6" w:space="0" w:color="000000"/>
              <w:right w:val="single" w:sz="4" w:space="0" w:color="000000"/>
            </w:tcBorders>
            <w:shd w:val="clear" w:color="auto" w:fill="auto"/>
            <w:vAlign w:val="center"/>
          </w:tcPr>
          <w:p w14:paraId="5842D72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dell’accessibilità dei servizi digitali della PA, secondo quanto indicato dalle Linee guida sull'accessibilità degli strumenti informatici </w:t>
            </w:r>
          </w:p>
        </w:tc>
        <w:tc>
          <w:tcPr>
            <w:tcW w:w="4281" w:type="dxa"/>
            <w:tcBorders>
              <w:bottom w:val="double" w:sz="6" w:space="0" w:color="000000"/>
              <w:right w:val="single" w:sz="8" w:space="0" w:color="000000"/>
            </w:tcBorders>
            <w:shd w:val="clear" w:color="auto" w:fill="auto"/>
            <w:vAlign w:val="center"/>
          </w:tcPr>
          <w:p w14:paraId="174612B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dell’accessibilità dei servizi digitali della PA, secondo quanto indicato dalle Linee guida sull'accessibilità degli strumenti informatici </w:t>
            </w:r>
          </w:p>
        </w:tc>
      </w:tr>
      <w:tr w:rsidR="00C77C37" w14:paraId="6405ED4C" w14:textId="77777777">
        <w:trPr>
          <w:trHeight w:val="1125"/>
        </w:trPr>
        <w:tc>
          <w:tcPr>
            <w:tcW w:w="697" w:type="dxa"/>
            <w:vMerge w:val="restart"/>
            <w:tcBorders>
              <w:left w:val="single" w:sz="8" w:space="0" w:color="000000"/>
              <w:bottom w:val="double" w:sz="4" w:space="0" w:color="000000"/>
              <w:right w:val="single" w:sz="4" w:space="0" w:color="000000"/>
            </w:tcBorders>
            <w:shd w:val="clear" w:color="auto" w:fill="auto"/>
            <w:vAlign w:val="center"/>
          </w:tcPr>
          <w:p w14:paraId="6A5A1028"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OB.1.3  </w:t>
            </w:r>
          </w:p>
        </w:tc>
        <w:tc>
          <w:tcPr>
            <w:tcW w:w="2282" w:type="dxa"/>
            <w:vMerge w:val="restart"/>
            <w:tcBorders>
              <w:left w:val="single" w:sz="4" w:space="0" w:color="000000"/>
              <w:bottom w:val="double" w:sz="4" w:space="0" w:color="000000"/>
              <w:right w:val="single" w:sz="4" w:space="0" w:color="000000"/>
            </w:tcBorders>
            <w:shd w:val="clear" w:color="auto" w:fill="auto"/>
            <w:vAlign w:val="center"/>
          </w:tcPr>
          <w:p w14:paraId="1C2AAE1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Piena applicazione del Regolamento Europeo EU 2018/1724 (Single Digital Gateway) </w:t>
            </w:r>
          </w:p>
        </w:tc>
        <w:tc>
          <w:tcPr>
            <w:tcW w:w="1281" w:type="dxa"/>
            <w:tcBorders>
              <w:bottom w:val="single" w:sz="4" w:space="0" w:color="000000"/>
              <w:right w:val="single" w:sz="4" w:space="0" w:color="000000"/>
            </w:tcBorders>
            <w:shd w:val="clear" w:color="auto" w:fill="auto"/>
            <w:vAlign w:val="center"/>
          </w:tcPr>
          <w:p w14:paraId="2C648C5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R.A.1.3a </w:t>
            </w:r>
          </w:p>
        </w:tc>
        <w:tc>
          <w:tcPr>
            <w:tcW w:w="4279" w:type="dxa"/>
            <w:tcBorders>
              <w:bottom w:val="single" w:sz="4" w:space="0" w:color="000000"/>
              <w:right w:val="single" w:sz="4" w:space="0" w:color="000000"/>
            </w:tcBorders>
            <w:shd w:val="clear" w:color="auto" w:fill="auto"/>
            <w:vAlign w:val="center"/>
          </w:tcPr>
          <w:p w14:paraId="2869522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livello di fruizione delle informazioni, spiegazioni e istruzioni, di cui agli art. 2, 9 e 10 del Regolamento EU 2018/1724 </w:t>
            </w:r>
          </w:p>
        </w:tc>
        <w:tc>
          <w:tcPr>
            <w:tcW w:w="4281" w:type="dxa"/>
            <w:tcBorders>
              <w:bottom w:val="single" w:sz="4" w:space="0" w:color="000000"/>
              <w:right w:val="single" w:sz="8" w:space="0" w:color="000000"/>
            </w:tcBorders>
            <w:shd w:val="clear" w:color="auto" w:fill="auto"/>
            <w:vAlign w:val="center"/>
          </w:tcPr>
          <w:p w14:paraId="6B818CDD"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livello di fruizione delle informazioni, spiegazioni e istruzioni, di cui agli art. 2, 9 e 10 del Regolamento EU 2018/1724 </w:t>
            </w:r>
          </w:p>
        </w:tc>
      </w:tr>
      <w:tr w:rsidR="00C77C37" w14:paraId="35013640" w14:textId="77777777">
        <w:trPr>
          <w:trHeight w:val="450"/>
        </w:trPr>
        <w:tc>
          <w:tcPr>
            <w:tcW w:w="697" w:type="dxa"/>
            <w:vMerge/>
            <w:tcBorders>
              <w:left w:val="single" w:sz="8" w:space="0" w:color="000000"/>
              <w:bottom w:val="double" w:sz="4" w:space="0" w:color="000000"/>
              <w:right w:val="single" w:sz="4" w:space="0" w:color="000000"/>
            </w:tcBorders>
            <w:vAlign w:val="center"/>
          </w:tcPr>
          <w:p w14:paraId="526D75E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4" w:space="0" w:color="000000"/>
              <w:right w:val="single" w:sz="4" w:space="0" w:color="000000"/>
            </w:tcBorders>
            <w:vAlign w:val="center"/>
          </w:tcPr>
          <w:p w14:paraId="4C519522"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4" w:space="0" w:color="000000"/>
              <w:right w:val="single" w:sz="4" w:space="0" w:color="000000"/>
            </w:tcBorders>
            <w:shd w:val="clear" w:color="auto" w:fill="auto"/>
            <w:vAlign w:val="center"/>
          </w:tcPr>
          <w:p w14:paraId="70D30E3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R.A.1.3b </w:t>
            </w:r>
          </w:p>
        </w:tc>
        <w:tc>
          <w:tcPr>
            <w:tcW w:w="4279" w:type="dxa"/>
            <w:tcBorders>
              <w:bottom w:val="double" w:sz="4" w:space="0" w:color="000000"/>
              <w:right w:val="single" w:sz="4" w:space="0" w:color="000000"/>
            </w:tcBorders>
            <w:shd w:val="clear" w:color="auto" w:fill="auto"/>
            <w:vAlign w:val="center"/>
          </w:tcPr>
          <w:p w14:paraId="6BD6590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delle procedure e del sistema tecnico di cui agli art. 6, 13, 14 e 15 del Regolamento EU 2018/1724 </w:t>
            </w:r>
          </w:p>
        </w:tc>
        <w:tc>
          <w:tcPr>
            <w:tcW w:w="4281" w:type="dxa"/>
            <w:tcBorders>
              <w:bottom w:val="double" w:sz="4" w:space="0" w:color="000000"/>
              <w:right w:val="single" w:sz="8" w:space="0" w:color="000000"/>
            </w:tcBorders>
            <w:shd w:val="clear" w:color="auto" w:fill="auto"/>
            <w:vAlign w:val="center"/>
          </w:tcPr>
          <w:p w14:paraId="19217E9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delle procedure e del sistema tecnico di cui agli art. 6, 13, 14 e 15 del Regolamento EU 2018/1724 </w:t>
            </w:r>
          </w:p>
        </w:tc>
      </w:tr>
      <w:tr w:rsidR="00C77C37" w14:paraId="75DBB43F" w14:textId="77777777">
        <w:trPr>
          <w:trHeight w:val="915"/>
        </w:trPr>
        <w:tc>
          <w:tcPr>
            <w:tcW w:w="697" w:type="dxa"/>
            <w:tcBorders>
              <w:top w:val="double" w:sz="4" w:space="0" w:color="000000"/>
              <w:left w:val="single" w:sz="8" w:space="0" w:color="000000"/>
              <w:bottom w:val="single" w:sz="8" w:space="0" w:color="000000"/>
              <w:right w:val="single" w:sz="4" w:space="0" w:color="000000"/>
            </w:tcBorders>
            <w:shd w:val="clear" w:color="auto" w:fill="auto"/>
            <w:vAlign w:val="center"/>
          </w:tcPr>
          <w:p w14:paraId="0A8B0A39"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OB.1.4 </w:t>
            </w:r>
          </w:p>
        </w:tc>
        <w:tc>
          <w:tcPr>
            <w:tcW w:w="2282" w:type="dxa"/>
            <w:tcBorders>
              <w:top w:val="double" w:sz="4" w:space="0" w:color="000000"/>
              <w:bottom w:val="single" w:sz="8" w:space="0" w:color="000000"/>
              <w:right w:val="single" w:sz="4" w:space="0" w:color="000000"/>
            </w:tcBorders>
            <w:shd w:val="clear" w:color="auto" w:fill="auto"/>
            <w:vAlign w:val="center"/>
          </w:tcPr>
          <w:p w14:paraId="1313DF7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Adeguamento dei servizi di recapito certificato qualificato a norma del regolamento eIDAS  </w:t>
            </w:r>
          </w:p>
        </w:tc>
        <w:tc>
          <w:tcPr>
            <w:tcW w:w="1281" w:type="dxa"/>
            <w:tcBorders>
              <w:top w:val="double" w:sz="4" w:space="0" w:color="000000"/>
              <w:bottom w:val="single" w:sz="8" w:space="0" w:color="000000"/>
              <w:right w:val="single" w:sz="4" w:space="0" w:color="000000"/>
            </w:tcBorders>
            <w:shd w:val="clear" w:color="auto" w:fill="auto"/>
            <w:vAlign w:val="center"/>
          </w:tcPr>
          <w:p w14:paraId="7C6F7E0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R.A.1.4a </w:t>
            </w:r>
          </w:p>
        </w:tc>
        <w:tc>
          <w:tcPr>
            <w:tcW w:w="4279" w:type="dxa"/>
            <w:tcBorders>
              <w:top w:val="double" w:sz="4" w:space="0" w:color="000000"/>
              <w:bottom w:val="single" w:sz="8" w:space="0" w:color="000000"/>
              <w:right w:val="single" w:sz="4" w:space="0" w:color="000000"/>
            </w:tcBorders>
            <w:shd w:val="clear" w:color="auto" w:fill="auto"/>
            <w:vAlign w:val="center"/>
          </w:tcPr>
          <w:p w14:paraId="5C4321D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c>
          <w:tcPr>
            <w:tcW w:w="4281" w:type="dxa"/>
            <w:tcBorders>
              <w:top w:val="double" w:sz="4" w:space="0" w:color="000000"/>
              <w:bottom w:val="single" w:sz="8" w:space="0" w:color="000000"/>
              <w:right w:val="single" w:sz="8" w:space="0" w:color="000000"/>
            </w:tcBorders>
            <w:shd w:val="clear" w:color="auto" w:fill="auto"/>
            <w:vAlign w:val="center"/>
          </w:tcPr>
          <w:p w14:paraId="1677329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Migrazione dalla PEC ai servizi SERQ  </w:t>
            </w:r>
          </w:p>
        </w:tc>
      </w:tr>
    </w:tbl>
    <w:p w14:paraId="089ED159"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43470845"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4FD1EB91"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DATI</w:t>
            </w:r>
          </w:p>
        </w:tc>
      </w:tr>
      <w:tr w:rsidR="00C77C37" w14:paraId="44A3FAEC"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17151CCE"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Ob. </w:t>
            </w:r>
          </w:p>
        </w:tc>
        <w:tc>
          <w:tcPr>
            <w:tcW w:w="2282" w:type="dxa"/>
            <w:tcBorders>
              <w:bottom w:val="single" w:sz="8" w:space="0" w:color="000000"/>
              <w:right w:val="single" w:sz="4" w:space="0" w:color="000000"/>
            </w:tcBorders>
            <w:shd w:val="clear" w:color="000000" w:fill="757171"/>
            <w:vAlign w:val="bottom"/>
          </w:tcPr>
          <w:p w14:paraId="1FFEC73B"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0C2DE559"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57C442AD"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1F3EBB4B"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3329691F" w14:textId="77777777">
        <w:trPr>
          <w:trHeight w:val="675"/>
        </w:trPr>
        <w:tc>
          <w:tcPr>
            <w:tcW w:w="697" w:type="dxa"/>
            <w:vMerge w:val="restart"/>
            <w:tcBorders>
              <w:left w:val="single" w:sz="8" w:space="0" w:color="000000"/>
              <w:bottom w:val="double" w:sz="6" w:space="0" w:color="000000"/>
              <w:right w:val="single" w:sz="4" w:space="0" w:color="000000"/>
            </w:tcBorders>
            <w:shd w:val="clear" w:color="auto" w:fill="auto"/>
            <w:vAlign w:val="center"/>
          </w:tcPr>
          <w:p w14:paraId="61DDFEEF"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OB.2.1 </w:t>
            </w:r>
          </w:p>
        </w:tc>
        <w:tc>
          <w:tcPr>
            <w:tcW w:w="2282" w:type="dxa"/>
            <w:vMerge w:val="restart"/>
            <w:tcBorders>
              <w:left w:val="single" w:sz="4" w:space="0" w:color="000000"/>
              <w:bottom w:val="double" w:sz="6" w:space="0" w:color="000000"/>
              <w:right w:val="single" w:sz="4" w:space="0" w:color="000000"/>
            </w:tcBorders>
            <w:shd w:val="clear" w:color="auto" w:fill="auto"/>
            <w:vAlign w:val="center"/>
          </w:tcPr>
          <w:p w14:paraId="1C89F07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Favorire la condivisione e il riutilizzo dei dati tra le PA e il riutilizzo da parte di cittadini e imprese   </w:t>
            </w:r>
          </w:p>
        </w:tc>
        <w:tc>
          <w:tcPr>
            <w:tcW w:w="1281" w:type="dxa"/>
            <w:tcBorders>
              <w:bottom w:val="single" w:sz="4" w:space="0" w:color="000000"/>
              <w:right w:val="single" w:sz="4" w:space="0" w:color="000000"/>
            </w:tcBorders>
            <w:shd w:val="clear" w:color="auto" w:fill="auto"/>
            <w:vAlign w:val="center"/>
          </w:tcPr>
          <w:p w14:paraId="72D9DBD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R.A.2.1a </w:t>
            </w:r>
          </w:p>
        </w:tc>
        <w:tc>
          <w:tcPr>
            <w:tcW w:w="4279" w:type="dxa"/>
            <w:tcBorders>
              <w:bottom w:val="single" w:sz="4" w:space="0" w:color="000000"/>
              <w:right w:val="single" w:sz="4" w:space="0" w:color="000000"/>
            </w:tcBorders>
            <w:shd w:val="clear" w:color="auto" w:fill="auto"/>
            <w:vAlign w:val="center"/>
          </w:tcPr>
          <w:p w14:paraId="2AD2C6A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basi di dati di interesse nazionale che espongono API coerenti con il modello di interoperabilità e con i modelli di riferimento di dati nazionali ed europei </w:t>
            </w:r>
          </w:p>
        </w:tc>
        <w:tc>
          <w:tcPr>
            <w:tcW w:w="4281" w:type="dxa"/>
            <w:tcBorders>
              <w:bottom w:val="single" w:sz="4" w:space="0" w:color="000000"/>
              <w:right w:val="single" w:sz="8" w:space="0" w:color="000000"/>
            </w:tcBorders>
            <w:shd w:val="clear" w:color="auto" w:fill="auto"/>
            <w:vAlign w:val="center"/>
          </w:tcPr>
          <w:p w14:paraId="731CCE7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basi di dati di interesse nazionale che espongono API coerenti con il modello di interoperabilità e con i modelli di riferimento di dati nazionali ed europei </w:t>
            </w:r>
          </w:p>
        </w:tc>
      </w:tr>
      <w:tr w:rsidR="00C77C37" w14:paraId="1CEA3335" w14:textId="77777777">
        <w:trPr>
          <w:trHeight w:val="1125"/>
        </w:trPr>
        <w:tc>
          <w:tcPr>
            <w:tcW w:w="697" w:type="dxa"/>
            <w:vMerge/>
            <w:tcBorders>
              <w:left w:val="single" w:sz="8" w:space="0" w:color="000000"/>
              <w:bottom w:val="double" w:sz="6" w:space="0" w:color="000000"/>
              <w:right w:val="single" w:sz="4" w:space="0" w:color="000000"/>
            </w:tcBorders>
            <w:vAlign w:val="center"/>
          </w:tcPr>
          <w:p w14:paraId="56B2A599"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1E87C888"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5A24DD1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R.A.2.1b </w:t>
            </w:r>
          </w:p>
        </w:tc>
        <w:tc>
          <w:tcPr>
            <w:tcW w:w="4279" w:type="dxa"/>
            <w:tcBorders>
              <w:bottom w:val="single" w:sz="4" w:space="0" w:color="000000"/>
              <w:right w:val="single" w:sz="4" w:space="0" w:color="000000"/>
            </w:tcBorders>
            <w:shd w:val="clear" w:color="auto" w:fill="auto"/>
            <w:vAlign w:val="center"/>
          </w:tcPr>
          <w:p w14:paraId="5343042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Aumento del numero di dataset aperti di tipo dinamico in coerenza con quanto previsto dalla Direttiva (UE) 2019/1024, relativa all’apertura dei dati e al riutilizzo dell’informazione del settore pubblico, con particolare riferimento alla loro pubblicazione in formato interoperabile tramite API (premesse 31 e 32 della citata Direttiva)</w:t>
            </w:r>
          </w:p>
        </w:tc>
        <w:tc>
          <w:tcPr>
            <w:tcW w:w="4281" w:type="dxa"/>
            <w:tcBorders>
              <w:bottom w:val="single" w:sz="4" w:space="0" w:color="000000"/>
              <w:right w:val="single" w:sz="8" w:space="0" w:color="000000"/>
            </w:tcBorders>
            <w:shd w:val="clear" w:color="auto" w:fill="auto"/>
            <w:vAlign w:val="center"/>
          </w:tcPr>
          <w:p w14:paraId="4D03914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aperti di tipo dinamico in coerenza con quanto previsto dalla Direttiva (UE) 2019/1024, relativa all’apertura dei dati e al riutilizzo dell’informazione del settore pubblico, con particolare riferimento alla loro pubblicazione in formato interoperabile tramite API </w:t>
            </w:r>
          </w:p>
        </w:tc>
      </w:tr>
      <w:tr w:rsidR="00C77C37" w14:paraId="569C3374" w14:textId="77777777">
        <w:trPr>
          <w:trHeight w:val="690"/>
        </w:trPr>
        <w:tc>
          <w:tcPr>
            <w:tcW w:w="697" w:type="dxa"/>
            <w:vMerge/>
            <w:tcBorders>
              <w:left w:val="single" w:sz="8" w:space="0" w:color="000000"/>
              <w:bottom w:val="double" w:sz="6" w:space="0" w:color="000000"/>
              <w:right w:val="single" w:sz="4" w:space="0" w:color="000000"/>
            </w:tcBorders>
            <w:vAlign w:val="center"/>
          </w:tcPr>
          <w:p w14:paraId="5FBB31D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2B752C01"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4925DCB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R.A.2.1c </w:t>
            </w:r>
          </w:p>
        </w:tc>
        <w:tc>
          <w:tcPr>
            <w:tcW w:w="4279" w:type="dxa"/>
            <w:tcBorders>
              <w:bottom w:val="double" w:sz="6" w:space="0" w:color="000000"/>
              <w:right w:val="single" w:sz="4" w:space="0" w:color="000000"/>
            </w:tcBorders>
            <w:shd w:val="clear" w:color="auto" w:fill="auto"/>
            <w:vAlign w:val="center"/>
          </w:tcPr>
          <w:p w14:paraId="4C91DEE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resi disponibili attraverso i servizi di dati territoriali di cui alla Direttiva 2007/2/EC (INSPIRE) </w:t>
            </w:r>
          </w:p>
        </w:tc>
        <w:tc>
          <w:tcPr>
            <w:tcW w:w="4281" w:type="dxa"/>
            <w:tcBorders>
              <w:bottom w:val="double" w:sz="6" w:space="0" w:color="000000"/>
              <w:right w:val="single" w:sz="8" w:space="0" w:color="000000"/>
            </w:tcBorders>
            <w:shd w:val="clear" w:color="auto" w:fill="auto"/>
            <w:vAlign w:val="center"/>
          </w:tcPr>
          <w:p w14:paraId="13203BA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resi disponibili attraverso i servizi di dati territoriali di cui alla Direttiva 2007/2/EC (INSPIRE) </w:t>
            </w:r>
          </w:p>
        </w:tc>
      </w:tr>
      <w:tr w:rsidR="00C77C37" w14:paraId="3009E265" w14:textId="77777777">
        <w:trPr>
          <w:trHeight w:val="465"/>
        </w:trPr>
        <w:tc>
          <w:tcPr>
            <w:tcW w:w="697" w:type="dxa"/>
            <w:vMerge w:val="restart"/>
            <w:tcBorders>
              <w:left w:val="single" w:sz="8" w:space="0" w:color="000000"/>
              <w:bottom w:val="double" w:sz="4" w:space="0" w:color="000000"/>
              <w:right w:val="single" w:sz="4" w:space="0" w:color="000000"/>
            </w:tcBorders>
            <w:shd w:val="clear" w:color="auto" w:fill="auto"/>
            <w:vAlign w:val="center"/>
          </w:tcPr>
          <w:p w14:paraId="416ECA2C"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OB.2.2  </w:t>
            </w:r>
          </w:p>
        </w:tc>
        <w:tc>
          <w:tcPr>
            <w:tcW w:w="2282" w:type="dxa"/>
            <w:vMerge w:val="restart"/>
            <w:tcBorders>
              <w:left w:val="single" w:sz="4" w:space="0" w:color="000000"/>
              <w:bottom w:val="double" w:sz="4" w:space="0" w:color="000000"/>
              <w:right w:val="single" w:sz="4" w:space="0" w:color="000000"/>
            </w:tcBorders>
            <w:shd w:val="clear" w:color="auto" w:fill="auto"/>
            <w:vAlign w:val="center"/>
          </w:tcPr>
          <w:p w14:paraId="524EDC70"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Aumentare la qualità dei dati e dei metadati </w:t>
            </w:r>
          </w:p>
        </w:tc>
        <w:tc>
          <w:tcPr>
            <w:tcW w:w="1281" w:type="dxa"/>
            <w:tcBorders>
              <w:bottom w:val="single" w:sz="4" w:space="0" w:color="000000"/>
              <w:right w:val="single" w:sz="4" w:space="0" w:color="000000"/>
            </w:tcBorders>
            <w:shd w:val="clear" w:color="auto" w:fill="auto"/>
            <w:vAlign w:val="center"/>
          </w:tcPr>
          <w:p w14:paraId="366BA87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R.A.2.2a </w:t>
            </w:r>
          </w:p>
        </w:tc>
        <w:tc>
          <w:tcPr>
            <w:tcW w:w="4279" w:type="dxa"/>
            <w:tcBorders>
              <w:bottom w:val="single" w:sz="4" w:space="0" w:color="000000"/>
              <w:right w:val="single" w:sz="4" w:space="0" w:color="000000"/>
            </w:tcBorders>
            <w:shd w:val="clear" w:color="auto" w:fill="auto"/>
            <w:vAlign w:val="center"/>
          </w:tcPr>
          <w:p w14:paraId="5B2A35F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con metadati di qualità conformi agli standard di riferimento europei e nazionali </w:t>
            </w:r>
          </w:p>
        </w:tc>
        <w:tc>
          <w:tcPr>
            <w:tcW w:w="4281" w:type="dxa"/>
            <w:tcBorders>
              <w:bottom w:val="single" w:sz="4" w:space="0" w:color="000000"/>
              <w:right w:val="single" w:sz="8" w:space="0" w:color="000000"/>
            </w:tcBorders>
            <w:shd w:val="clear" w:color="auto" w:fill="auto"/>
            <w:vAlign w:val="center"/>
          </w:tcPr>
          <w:p w14:paraId="7D653E0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con metadati di qualità conformi agli standard di riferimento europei e nazionali </w:t>
            </w:r>
          </w:p>
        </w:tc>
      </w:tr>
      <w:tr w:rsidR="00C77C37" w14:paraId="392EF6E6" w14:textId="77777777">
        <w:trPr>
          <w:trHeight w:val="465"/>
        </w:trPr>
        <w:tc>
          <w:tcPr>
            <w:tcW w:w="697" w:type="dxa"/>
            <w:vMerge/>
            <w:tcBorders>
              <w:left w:val="single" w:sz="8" w:space="0" w:color="000000"/>
              <w:bottom w:val="double" w:sz="4" w:space="0" w:color="000000"/>
              <w:right w:val="single" w:sz="4" w:space="0" w:color="000000"/>
            </w:tcBorders>
            <w:vAlign w:val="center"/>
          </w:tcPr>
          <w:p w14:paraId="063F11BD"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4" w:space="0" w:color="000000"/>
              <w:right w:val="single" w:sz="4" w:space="0" w:color="000000"/>
            </w:tcBorders>
            <w:vAlign w:val="center"/>
          </w:tcPr>
          <w:p w14:paraId="3C98395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4" w:space="0" w:color="000000"/>
              <w:right w:val="single" w:sz="4" w:space="0" w:color="000000"/>
            </w:tcBorders>
            <w:shd w:val="clear" w:color="auto" w:fill="auto"/>
            <w:vAlign w:val="center"/>
          </w:tcPr>
          <w:p w14:paraId="36DD2CA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R.A.2.2b </w:t>
            </w:r>
          </w:p>
        </w:tc>
        <w:tc>
          <w:tcPr>
            <w:tcW w:w="4279" w:type="dxa"/>
            <w:tcBorders>
              <w:bottom w:val="double" w:sz="4" w:space="0" w:color="000000"/>
              <w:right w:val="single" w:sz="4" w:space="0" w:color="000000"/>
            </w:tcBorders>
            <w:shd w:val="clear" w:color="auto" w:fill="auto"/>
            <w:vAlign w:val="center"/>
          </w:tcPr>
          <w:p w14:paraId="5E06DF4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di tipo aperto resi disponibili </w:t>
            </w:r>
            <w:r>
              <w:rPr>
                <w:rFonts w:eastAsia="Times New Roman" w:cs="Calibri"/>
                <w:color w:val="000000"/>
                <w:sz w:val="16"/>
                <w:szCs w:val="16"/>
                <w:lang w:eastAsia="en-GB"/>
              </w:rPr>
              <w:lastRenderedPageBreak/>
              <w:t xml:space="preserve">dalle pubbliche amministrazioni </w:t>
            </w:r>
          </w:p>
        </w:tc>
        <w:tc>
          <w:tcPr>
            <w:tcW w:w="4281" w:type="dxa"/>
            <w:tcBorders>
              <w:bottom w:val="double" w:sz="4" w:space="0" w:color="000000"/>
              <w:right w:val="single" w:sz="8" w:space="0" w:color="000000"/>
            </w:tcBorders>
            <w:shd w:val="clear" w:color="auto" w:fill="auto"/>
            <w:vAlign w:val="center"/>
          </w:tcPr>
          <w:p w14:paraId="48B0941D"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Aumento del numero di dataset di tipo aperto resi disponibili </w:t>
            </w:r>
            <w:r>
              <w:rPr>
                <w:rFonts w:eastAsia="Times New Roman" w:cs="Calibri"/>
                <w:color w:val="000000"/>
                <w:sz w:val="16"/>
                <w:szCs w:val="16"/>
                <w:lang w:eastAsia="en-GB"/>
              </w:rPr>
              <w:lastRenderedPageBreak/>
              <w:t xml:space="preserve">dalle pubbliche amministrazioni </w:t>
            </w:r>
          </w:p>
        </w:tc>
      </w:tr>
      <w:tr w:rsidR="00C77C37" w14:paraId="470858B4" w14:textId="77777777">
        <w:trPr>
          <w:trHeight w:val="1155"/>
        </w:trPr>
        <w:tc>
          <w:tcPr>
            <w:tcW w:w="697" w:type="dxa"/>
            <w:tcBorders>
              <w:top w:val="double" w:sz="4" w:space="0" w:color="000000"/>
              <w:left w:val="single" w:sz="8" w:space="0" w:color="000000"/>
              <w:bottom w:val="single" w:sz="8" w:space="0" w:color="000000"/>
              <w:right w:val="single" w:sz="4" w:space="0" w:color="000000"/>
            </w:tcBorders>
            <w:shd w:val="clear" w:color="auto" w:fill="auto"/>
            <w:vAlign w:val="center"/>
          </w:tcPr>
          <w:p w14:paraId="59C2B1A4"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OB.2.3 </w:t>
            </w:r>
          </w:p>
        </w:tc>
        <w:tc>
          <w:tcPr>
            <w:tcW w:w="2282" w:type="dxa"/>
            <w:tcBorders>
              <w:top w:val="double" w:sz="4" w:space="0" w:color="000000"/>
              <w:bottom w:val="single" w:sz="8" w:space="0" w:color="000000"/>
              <w:right w:val="single" w:sz="4" w:space="0" w:color="000000"/>
            </w:tcBorders>
            <w:shd w:val="clear" w:color="auto" w:fill="auto"/>
            <w:vAlign w:val="center"/>
          </w:tcPr>
          <w:p w14:paraId="1D25C37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Aumentare la consapevolezza sulle politiche di valorizzazione del patrimonio informativo pubblico e su una moderna economia dei dati </w:t>
            </w:r>
          </w:p>
        </w:tc>
        <w:tc>
          <w:tcPr>
            <w:tcW w:w="1281" w:type="dxa"/>
            <w:tcBorders>
              <w:top w:val="double" w:sz="4" w:space="0" w:color="000000"/>
              <w:bottom w:val="single" w:sz="8" w:space="0" w:color="000000"/>
              <w:right w:val="single" w:sz="4" w:space="0" w:color="000000"/>
            </w:tcBorders>
            <w:shd w:val="clear" w:color="auto" w:fill="auto"/>
            <w:vAlign w:val="center"/>
          </w:tcPr>
          <w:p w14:paraId="4CC93CE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R.A.2.3b </w:t>
            </w:r>
          </w:p>
        </w:tc>
        <w:tc>
          <w:tcPr>
            <w:tcW w:w="4279" w:type="dxa"/>
            <w:tcBorders>
              <w:top w:val="double" w:sz="4" w:space="0" w:color="000000"/>
              <w:bottom w:val="single" w:sz="8" w:space="0" w:color="000000"/>
              <w:right w:val="single" w:sz="4" w:space="0" w:color="000000"/>
            </w:tcBorders>
            <w:shd w:val="clear" w:color="auto" w:fill="auto"/>
            <w:vAlign w:val="center"/>
          </w:tcPr>
          <w:p w14:paraId="5F31F6A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di tipo aperto che adottano la licenza CC BY 4.0 </w:t>
            </w:r>
          </w:p>
        </w:tc>
        <w:tc>
          <w:tcPr>
            <w:tcW w:w="4281" w:type="dxa"/>
            <w:tcBorders>
              <w:top w:val="double" w:sz="4" w:space="0" w:color="000000"/>
              <w:bottom w:val="single" w:sz="8" w:space="0" w:color="000000"/>
              <w:right w:val="single" w:sz="8" w:space="0" w:color="000000"/>
            </w:tcBorders>
            <w:shd w:val="clear" w:color="auto" w:fill="auto"/>
            <w:vAlign w:val="center"/>
          </w:tcPr>
          <w:p w14:paraId="1AD0603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 numero di dataset di tipo aperto che adottano le licenze previste dalle Linee Guida sui dati aperti </w:t>
            </w:r>
          </w:p>
        </w:tc>
      </w:tr>
    </w:tbl>
    <w:p w14:paraId="263FBDBF"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357838E1"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765EFF62"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PIATTAFORME</w:t>
            </w:r>
          </w:p>
        </w:tc>
      </w:tr>
      <w:tr w:rsidR="00C77C37" w14:paraId="433B0BD4"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602AE754"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Ob. </w:t>
            </w:r>
          </w:p>
        </w:tc>
        <w:tc>
          <w:tcPr>
            <w:tcW w:w="2282" w:type="dxa"/>
            <w:tcBorders>
              <w:bottom w:val="single" w:sz="8" w:space="0" w:color="000000"/>
              <w:right w:val="single" w:sz="4" w:space="0" w:color="000000"/>
            </w:tcBorders>
            <w:shd w:val="clear" w:color="000000" w:fill="757171"/>
            <w:vAlign w:val="bottom"/>
          </w:tcPr>
          <w:p w14:paraId="68F96851"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4323CD5B"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4F8A0568"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7CFE4F74"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655C4A39" w14:textId="77777777">
        <w:trPr>
          <w:trHeight w:val="900"/>
        </w:trPr>
        <w:tc>
          <w:tcPr>
            <w:tcW w:w="697" w:type="dxa"/>
            <w:vMerge w:val="restart"/>
            <w:tcBorders>
              <w:left w:val="single" w:sz="8" w:space="0" w:color="000000"/>
              <w:bottom w:val="double" w:sz="6" w:space="0" w:color="000000"/>
              <w:right w:val="single" w:sz="4" w:space="0" w:color="000000"/>
            </w:tcBorders>
            <w:shd w:val="clear" w:color="auto" w:fill="auto"/>
            <w:vAlign w:val="center"/>
          </w:tcPr>
          <w:p w14:paraId="4B41931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OB.3.1 </w:t>
            </w:r>
          </w:p>
        </w:tc>
        <w:tc>
          <w:tcPr>
            <w:tcW w:w="2282" w:type="dxa"/>
            <w:vMerge w:val="restart"/>
            <w:tcBorders>
              <w:left w:val="single" w:sz="4" w:space="0" w:color="000000"/>
              <w:bottom w:val="double" w:sz="6" w:space="0" w:color="000000"/>
              <w:right w:val="single" w:sz="4" w:space="0" w:color="000000"/>
            </w:tcBorders>
            <w:shd w:val="clear" w:color="auto" w:fill="auto"/>
            <w:vAlign w:val="center"/>
          </w:tcPr>
          <w:p w14:paraId="2DB3BEDB"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Favorire l’evoluzione delle piattaforme esistenti per migliorare i servizi offerti a cittadini ed imprese semplificando l’azione amministrativa </w:t>
            </w:r>
          </w:p>
        </w:tc>
        <w:tc>
          <w:tcPr>
            <w:tcW w:w="1281" w:type="dxa"/>
            <w:tcBorders>
              <w:bottom w:val="single" w:sz="4" w:space="0" w:color="000000"/>
              <w:right w:val="single" w:sz="4" w:space="0" w:color="000000"/>
            </w:tcBorders>
            <w:shd w:val="clear" w:color="auto" w:fill="auto"/>
            <w:vAlign w:val="center"/>
          </w:tcPr>
          <w:p w14:paraId="63AD9C9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R.A.3.1a </w:t>
            </w:r>
          </w:p>
        </w:tc>
        <w:tc>
          <w:tcPr>
            <w:tcW w:w="4279" w:type="dxa"/>
            <w:tcBorders>
              <w:bottom w:val="single" w:sz="4" w:space="0" w:color="000000"/>
              <w:right w:val="single" w:sz="8" w:space="0" w:color="000000"/>
            </w:tcBorders>
            <w:shd w:val="clear" w:color="auto" w:fill="auto"/>
            <w:vAlign w:val="center"/>
          </w:tcPr>
          <w:p w14:paraId="165C4BA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alimentazione e digitalizzazione del Fascicolo Sanitario Elettronico con i documenti sanitari da parte delle strutture sanitarie territoriali (ASL/AO/IRCCS) </w:t>
            </w:r>
          </w:p>
        </w:tc>
        <w:tc>
          <w:tcPr>
            <w:tcW w:w="4281" w:type="dxa"/>
            <w:tcBorders>
              <w:left w:val="single" w:sz="4" w:space="0" w:color="000000"/>
              <w:bottom w:val="single" w:sz="4" w:space="0" w:color="000000"/>
              <w:right w:val="single" w:sz="8" w:space="0" w:color="000000"/>
            </w:tcBorders>
            <w:shd w:val="clear" w:color="auto" w:fill="auto"/>
            <w:vAlign w:val="center"/>
          </w:tcPr>
          <w:p w14:paraId="6DD0265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alimentazione e digitalizzazione del Fascicolo Sanitario Elettronico con i documenti sanitari da parte delle strutture sanitarie territoriali (ASL/AO/IRCCS) </w:t>
            </w:r>
          </w:p>
        </w:tc>
      </w:tr>
      <w:tr w:rsidR="00C77C37" w14:paraId="7D40FD20" w14:textId="77777777">
        <w:trPr>
          <w:trHeight w:val="690"/>
        </w:trPr>
        <w:tc>
          <w:tcPr>
            <w:tcW w:w="697" w:type="dxa"/>
            <w:vMerge/>
            <w:tcBorders>
              <w:left w:val="single" w:sz="8" w:space="0" w:color="000000"/>
              <w:bottom w:val="double" w:sz="6" w:space="0" w:color="000000"/>
              <w:right w:val="single" w:sz="4" w:space="0" w:color="000000"/>
            </w:tcBorders>
            <w:vAlign w:val="center"/>
          </w:tcPr>
          <w:p w14:paraId="20984C8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0DBD3030"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2DEE640D"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R.A.3.1c </w:t>
            </w:r>
          </w:p>
        </w:tc>
        <w:tc>
          <w:tcPr>
            <w:tcW w:w="4279" w:type="dxa"/>
            <w:tcBorders>
              <w:bottom w:val="double" w:sz="6" w:space="0" w:color="000000"/>
              <w:right w:val="single" w:sz="4" w:space="0" w:color="000000"/>
            </w:tcBorders>
            <w:shd w:val="clear" w:color="auto" w:fill="auto"/>
            <w:vAlign w:val="center"/>
          </w:tcPr>
          <w:p w14:paraId="2D810C8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di Amministrazioni servite in NoiPA ed estensione del numero di servizi offerti dalla piattaforma (fiscale, previdenziale ecc.) utilizzati </w:t>
            </w:r>
          </w:p>
        </w:tc>
        <w:tc>
          <w:tcPr>
            <w:tcW w:w="4281" w:type="dxa"/>
            <w:tcBorders>
              <w:bottom w:val="double" w:sz="6" w:space="0" w:color="000000"/>
              <w:right w:val="single" w:sz="8" w:space="0" w:color="000000"/>
            </w:tcBorders>
            <w:shd w:val="clear" w:color="auto" w:fill="auto"/>
            <w:vAlign w:val="center"/>
          </w:tcPr>
          <w:p w14:paraId="4ACB888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di Amministrazioni servite in NoiPA ed estensione del numero di servizi offerti dalla piattaforma (fiscale, previdenziale ecc.) utilizzati </w:t>
            </w:r>
          </w:p>
        </w:tc>
      </w:tr>
      <w:tr w:rsidR="00C77C37" w14:paraId="5F86F5CC" w14:textId="77777777">
        <w:trPr>
          <w:trHeight w:val="1140"/>
        </w:trPr>
        <w:tc>
          <w:tcPr>
            <w:tcW w:w="697" w:type="dxa"/>
            <w:vMerge w:val="restart"/>
            <w:tcBorders>
              <w:left w:val="single" w:sz="8" w:space="0" w:color="000000"/>
              <w:bottom w:val="double" w:sz="4" w:space="0" w:color="000000"/>
              <w:right w:val="single" w:sz="4" w:space="0" w:color="000000"/>
            </w:tcBorders>
            <w:shd w:val="clear" w:color="auto" w:fill="auto"/>
            <w:vAlign w:val="center"/>
          </w:tcPr>
          <w:p w14:paraId="413BB846"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OB.3.2 </w:t>
            </w:r>
          </w:p>
        </w:tc>
        <w:tc>
          <w:tcPr>
            <w:tcW w:w="2282" w:type="dxa"/>
            <w:vMerge w:val="restart"/>
            <w:tcBorders>
              <w:left w:val="single" w:sz="4" w:space="0" w:color="000000"/>
              <w:bottom w:val="double" w:sz="4" w:space="0" w:color="000000"/>
              <w:right w:val="single" w:sz="4" w:space="0" w:color="000000"/>
            </w:tcBorders>
            <w:shd w:val="clear" w:color="auto" w:fill="auto"/>
            <w:vAlign w:val="center"/>
          </w:tcPr>
          <w:p w14:paraId="2B1934D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Aumentare il grado di adozione ed utilizzo delle piattaforme abilitanti esistenti da parte delle Pubbliche Amministrazioni </w:t>
            </w:r>
          </w:p>
        </w:tc>
        <w:tc>
          <w:tcPr>
            <w:tcW w:w="1281" w:type="dxa"/>
            <w:tcBorders>
              <w:bottom w:val="single" w:sz="4" w:space="0" w:color="000000"/>
              <w:right w:val="single" w:sz="4" w:space="0" w:color="000000"/>
            </w:tcBorders>
            <w:shd w:val="clear" w:color="auto" w:fill="auto"/>
            <w:vAlign w:val="center"/>
          </w:tcPr>
          <w:p w14:paraId="010BF22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R.A.3.2a </w:t>
            </w:r>
          </w:p>
        </w:tc>
        <w:tc>
          <w:tcPr>
            <w:tcW w:w="4279" w:type="dxa"/>
            <w:tcBorders>
              <w:bottom w:val="single" w:sz="4" w:space="0" w:color="000000"/>
              <w:right w:val="single" w:sz="4" w:space="0" w:color="000000"/>
            </w:tcBorders>
            <w:shd w:val="clear" w:color="auto" w:fill="auto"/>
            <w:vAlign w:val="center"/>
          </w:tcPr>
          <w:p w14:paraId="425636F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dell’adozione e dell’utilizzo dell’identità digitale (SPID e CIE) da parte delle Pubbliche Amministrazioni </w:t>
            </w:r>
          </w:p>
        </w:tc>
        <w:tc>
          <w:tcPr>
            <w:tcW w:w="4281" w:type="dxa"/>
            <w:tcBorders>
              <w:bottom w:val="single" w:sz="4" w:space="0" w:color="000000"/>
              <w:right w:val="single" w:sz="4" w:space="0" w:color="000000"/>
            </w:tcBorders>
            <w:shd w:val="clear" w:color="auto" w:fill="auto"/>
            <w:vAlign w:val="center"/>
          </w:tcPr>
          <w:p w14:paraId="00873EF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dell’adozione e dell’utilizzo dell’identità digitale (SPID e CIE) da parte delle Pubbliche Amministrazioni </w:t>
            </w:r>
          </w:p>
        </w:tc>
      </w:tr>
      <w:tr w:rsidR="00C77C37" w14:paraId="302D76D5" w14:textId="77777777">
        <w:trPr>
          <w:trHeight w:val="300"/>
        </w:trPr>
        <w:tc>
          <w:tcPr>
            <w:tcW w:w="697" w:type="dxa"/>
            <w:vMerge/>
            <w:tcBorders>
              <w:left w:val="single" w:sz="8" w:space="0" w:color="000000"/>
              <w:bottom w:val="double" w:sz="6" w:space="0" w:color="000000"/>
              <w:right w:val="single" w:sz="4" w:space="0" w:color="000000"/>
            </w:tcBorders>
            <w:vAlign w:val="center"/>
          </w:tcPr>
          <w:p w14:paraId="5790872C"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5E9E9626"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04F3109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R.A.3.2b </w:t>
            </w:r>
          </w:p>
        </w:tc>
        <w:tc>
          <w:tcPr>
            <w:tcW w:w="4279" w:type="dxa"/>
            <w:tcBorders>
              <w:bottom w:val="single" w:sz="4" w:space="0" w:color="000000"/>
              <w:right w:val="single" w:sz="4" w:space="0" w:color="000000"/>
            </w:tcBorders>
            <w:shd w:val="clear" w:color="auto" w:fill="auto"/>
            <w:vAlign w:val="center"/>
          </w:tcPr>
          <w:p w14:paraId="7BD12495" w14:textId="77777777" w:rsidR="00C77C37" w:rsidRDefault="00204E95">
            <w:pPr>
              <w:widowControl w:val="0"/>
              <w:spacing w:before="0"/>
              <w:ind w:left="0" w:right="0"/>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di comuni subentrati in ANPR     </w:t>
            </w:r>
          </w:p>
        </w:tc>
        <w:tc>
          <w:tcPr>
            <w:tcW w:w="4281" w:type="dxa"/>
            <w:tcBorders>
              <w:bottom w:val="single" w:sz="4" w:space="0" w:color="000000"/>
              <w:right w:val="single" w:sz="8" w:space="0" w:color="000000"/>
            </w:tcBorders>
            <w:shd w:val="clear" w:color="auto" w:fill="auto"/>
            <w:vAlign w:val="center"/>
          </w:tcPr>
          <w:p w14:paraId="2175684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r>
      <w:tr w:rsidR="00C77C37" w14:paraId="465DCAC4" w14:textId="77777777">
        <w:trPr>
          <w:trHeight w:val="300"/>
        </w:trPr>
        <w:tc>
          <w:tcPr>
            <w:tcW w:w="697" w:type="dxa"/>
            <w:vMerge/>
            <w:tcBorders>
              <w:left w:val="single" w:sz="8" w:space="0" w:color="000000"/>
              <w:bottom w:val="double" w:sz="6" w:space="0" w:color="000000"/>
              <w:right w:val="single" w:sz="4" w:space="0" w:color="000000"/>
            </w:tcBorders>
            <w:vAlign w:val="center"/>
          </w:tcPr>
          <w:p w14:paraId="5B348E76"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0A4A30D8"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5B40782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R.A.3.2c </w:t>
            </w:r>
          </w:p>
        </w:tc>
        <w:tc>
          <w:tcPr>
            <w:tcW w:w="4279" w:type="dxa"/>
            <w:tcBorders>
              <w:bottom w:val="single" w:sz="4" w:space="0" w:color="000000"/>
              <w:right w:val="single" w:sz="4" w:space="0" w:color="000000"/>
            </w:tcBorders>
            <w:shd w:val="clear" w:color="auto" w:fill="auto"/>
            <w:vAlign w:val="center"/>
          </w:tcPr>
          <w:p w14:paraId="534D638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dei servizi sulla piattaforma pagoPA </w:t>
            </w:r>
          </w:p>
        </w:tc>
        <w:tc>
          <w:tcPr>
            <w:tcW w:w="4281" w:type="dxa"/>
            <w:tcBorders>
              <w:bottom w:val="single" w:sz="4" w:space="0" w:color="000000"/>
              <w:right w:val="single" w:sz="8" w:space="0" w:color="000000"/>
            </w:tcBorders>
            <w:shd w:val="clear" w:color="auto" w:fill="auto"/>
            <w:vAlign w:val="center"/>
          </w:tcPr>
          <w:p w14:paraId="5AF00E3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dei servizi sulla piattaforma pagoPA </w:t>
            </w:r>
          </w:p>
        </w:tc>
      </w:tr>
      <w:tr w:rsidR="00C77C37" w14:paraId="79BEA957" w14:textId="77777777">
        <w:trPr>
          <w:trHeight w:val="465"/>
        </w:trPr>
        <w:tc>
          <w:tcPr>
            <w:tcW w:w="697" w:type="dxa"/>
            <w:vMerge/>
            <w:tcBorders>
              <w:left w:val="single" w:sz="8" w:space="0" w:color="000000"/>
              <w:bottom w:val="double" w:sz="4" w:space="0" w:color="000000"/>
              <w:right w:val="single" w:sz="4" w:space="0" w:color="000000"/>
            </w:tcBorders>
            <w:vAlign w:val="center"/>
          </w:tcPr>
          <w:p w14:paraId="17388DE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4" w:space="0" w:color="000000"/>
              <w:right w:val="single" w:sz="4" w:space="0" w:color="000000"/>
            </w:tcBorders>
            <w:vAlign w:val="center"/>
          </w:tcPr>
          <w:p w14:paraId="6FA9BD4C"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4" w:space="0" w:color="000000"/>
              <w:right w:val="single" w:sz="4" w:space="0" w:color="000000"/>
            </w:tcBorders>
            <w:shd w:val="clear" w:color="auto" w:fill="auto"/>
            <w:vAlign w:val="center"/>
          </w:tcPr>
          <w:p w14:paraId="5DD004A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R.A.3.2d </w:t>
            </w:r>
          </w:p>
        </w:tc>
        <w:tc>
          <w:tcPr>
            <w:tcW w:w="4279" w:type="dxa"/>
            <w:tcBorders>
              <w:bottom w:val="double" w:sz="4" w:space="0" w:color="000000"/>
              <w:right w:val="single" w:sz="4" w:space="0" w:color="000000"/>
            </w:tcBorders>
            <w:shd w:val="clear" w:color="auto" w:fill="auto"/>
            <w:vAlign w:val="center"/>
          </w:tcPr>
          <w:p w14:paraId="104F077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di Amministrazioni scolastiche la cui spesa è consultabile on-line attraverso SIOPE+  </w:t>
            </w:r>
          </w:p>
        </w:tc>
        <w:tc>
          <w:tcPr>
            <w:tcW w:w="4281" w:type="dxa"/>
            <w:tcBorders>
              <w:bottom w:val="double" w:sz="4" w:space="0" w:color="000000"/>
              <w:right w:val="single" w:sz="8" w:space="0" w:color="000000"/>
            </w:tcBorders>
            <w:shd w:val="clear" w:color="auto" w:fill="auto"/>
            <w:vAlign w:val="center"/>
          </w:tcPr>
          <w:p w14:paraId="42DED5D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di Amministrazioni scolastiche la cui spesa è consultabile on-line attraverso SIOPE+  </w:t>
            </w:r>
          </w:p>
        </w:tc>
      </w:tr>
      <w:tr w:rsidR="00C77C37" w14:paraId="6966B1F5" w14:textId="77777777">
        <w:trPr>
          <w:trHeight w:val="465"/>
        </w:trPr>
        <w:tc>
          <w:tcPr>
            <w:tcW w:w="697" w:type="dxa"/>
            <w:vMerge w:val="restart"/>
            <w:tcBorders>
              <w:top w:val="double" w:sz="4" w:space="0" w:color="000000"/>
              <w:left w:val="single" w:sz="8" w:space="0" w:color="000000"/>
              <w:bottom w:val="single" w:sz="8" w:space="0" w:color="000000"/>
              <w:right w:val="single" w:sz="4" w:space="0" w:color="000000"/>
            </w:tcBorders>
            <w:shd w:val="clear" w:color="auto" w:fill="auto"/>
            <w:vAlign w:val="center"/>
          </w:tcPr>
          <w:p w14:paraId="227361B3"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OB.3.3 </w:t>
            </w:r>
          </w:p>
        </w:tc>
        <w:tc>
          <w:tcPr>
            <w:tcW w:w="2282" w:type="dxa"/>
            <w:vMerge w:val="restart"/>
            <w:tcBorders>
              <w:top w:val="double" w:sz="4" w:space="0" w:color="000000"/>
              <w:left w:val="single" w:sz="4" w:space="0" w:color="000000"/>
              <w:bottom w:val="single" w:sz="8" w:space="0" w:color="000000"/>
              <w:right w:val="single" w:sz="4" w:space="0" w:color="000000"/>
            </w:tcBorders>
            <w:shd w:val="clear" w:color="auto" w:fill="auto"/>
            <w:vAlign w:val="center"/>
          </w:tcPr>
          <w:p w14:paraId="3F77C38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Incrementare e razionalizzare il numero di piattaforme per le Amministrazioni al fine di semplificare i servizi ai cittadini </w:t>
            </w:r>
          </w:p>
        </w:tc>
        <w:tc>
          <w:tcPr>
            <w:tcW w:w="1281" w:type="dxa"/>
            <w:tcBorders>
              <w:top w:val="double" w:sz="4" w:space="0" w:color="000000"/>
              <w:bottom w:val="single" w:sz="4" w:space="0" w:color="000000"/>
              <w:right w:val="single" w:sz="4" w:space="0" w:color="000000"/>
            </w:tcBorders>
            <w:shd w:val="clear" w:color="auto" w:fill="auto"/>
            <w:vAlign w:val="center"/>
          </w:tcPr>
          <w:p w14:paraId="7093FD8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R.A.3.3a </w:t>
            </w:r>
          </w:p>
        </w:tc>
        <w:tc>
          <w:tcPr>
            <w:tcW w:w="4279" w:type="dxa"/>
            <w:tcBorders>
              <w:top w:val="double" w:sz="4" w:space="0" w:color="000000"/>
              <w:bottom w:val="single" w:sz="4" w:space="0" w:color="000000"/>
              <w:right w:val="single" w:sz="4" w:space="0" w:color="000000"/>
            </w:tcBorders>
            <w:shd w:val="clear" w:color="auto" w:fill="auto"/>
            <w:vAlign w:val="center"/>
          </w:tcPr>
          <w:p w14:paraId="78724A2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dei servizi sulla Piattaforma IO (l’App dei servizi pubblici) </w:t>
            </w:r>
          </w:p>
        </w:tc>
        <w:tc>
          <w:tcPr>
            <w:tcW w:w="4281" w:type="dxa"/>
            <w:tcBorders>
              <w:top w:val="double" w:sz="4" w:space="0" w:color="000000"/>
              <w:bottom w:val="single" w:sz="4" w:space="0" w:color="000000"/>
              <w:right w:val="single" w:sz="8" w:space="0" w:color="000000"/>
            </w:tcBorders>
            <w:shd w:val="clear" w:color="auto" w:fill="auto"/>
            <w:vAlign w:val="center"/>
          </w:tcPr>
          <w:p w14:paraId="5393D53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dei servizi sulla Piattaforma IO (l’App dei servizi pubblici) </w:t>
            </w:r>
          </w:p>
        </w:tc>
      </w:tr>
      <w:tr w:rsidR="00C77C37" w14:paraId="01A20E7B" w14:textId="77777777">
        <w:trPr>
          <w:trHeight w:val="900"/>
        </w:trPr>
        <w:tc>
          <w:tcPr>
            <w:tcW w:w="697" w:type="dxa"/>
            <w:vMerge/>
            <w:tcBorders>
              <w:left w:val="single" w:sz="8" w:space="0" w:color="000000"/>
              <w:bottom w:val="single" w:sz="8" w:space="0" w:color="000000"/>
              <w:right w:val="single" w:sz="4" w:space="0" w:color="000000"/>
            </w:tcBorders>
            <w:vAlign w:val="center"/>
          </w:tcPr>
          <w:p w14:paraId="23C5F932"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single" w:sz="8" w:space="0" w:color="000000"/>
              <w:right w:val="single" w:sz="4" w:space="0" w:color="000000"/>
            </w:tcBorders>
            <w:vAlign w:val="center"/>
          </w:tcPr>
          <w:p w14:paraId="7CF5A9E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77852D8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R.A.3.3b </w:t>
            </w:r>
          </w:p>
        </w:tc>
        <w:tc>
          <w:tcPr>
            <w:tcW w:w="4279" w:type="dxa"/>
            <w:tcBorders>
              <w:bottom w:val="single" w:sz="4" w:space="0" w:color="000000"/>
              <w:right w:val="single" w:sz="4" w:space="0" w:color="000000"/>
            </w:tcBorders>
            <w:shd w:val="clear" w:color="auto" w:fill="auto"/>
            <w:vAlign w:val="center"/>
          </w:tcPr>
          <w:p w14:paraId="4B31AAF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della Piattaforma Indice nazionale dei domicili digitali delle persone fisiche e degli altri enti di diritto privato non tenuti all’iscrizione in albi professionali o nel Registro Imprese (INAD) </w:t>
            </w:r>
          </w:p>
        </w:tc>
        <w:tc>
          <w:tcPr>
            <w:tcW w:w="4281" w:type="dxa"/>
            <w:tcBorders>
              <w:bottom w:val="single" w:sz="4" w:space="0" w:color="000000"/>
              <w:right w:val="single" w:sz="8" w:space="0" w:color="000000"/>
            </w:tcBorders>
            <w:shd w:val="clear" w:color="auto" w:fill="auto"/>
            <w:vAlign w:val="center"/>
          </w:tcPr>
          <w:p w14:paraId="4B79258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della Piattaforma Indice nazionale dei domicili digitali delle persone fisiche e degli altri enti di diritto privato non tenuti all’iscrizione in albi professionali o nel Registro Imprese (INAD) </w:t>
            </w:r>
          </w:p>
        </w:tc>
      </w:tr>
      <w:tr w:rsidR="00C77C37" w14:paraId="292DE3C9" w14:textId="77777777">
        <w:trPr>
          <w:trHeight w:val="675"/>
        </w:trPr>
        <w:tc>
          <w:tcPr>
            <w:tcW w:w="697" w:type="dxa"/>
            <w:vMerge/>
            <w:tcBorders>
              <w:left w:val="single" w:sz="8" w:space="0" w:color="000000"/>
              <w:bottom w:val="single" w:sz="4" w:space="0" w:color="000000"/>
              <w:right w:val="single" w:sz="4" w:space="0" w:color="000000"/>
            </w:tcBorders>
            <w:vAlign w:val="center"/>
          </w:tcPr>
          <w:p w14:paraId="41123503"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single" w:sz="4" w:space="0" w:color="000000"/>
              <w:right w:val="single" w:sz="4" w:space="0" w:color="000000"/>
            </w:tcBorders>
            <w:vAlign w:val="center"/>
          </w:tcPr>
          <w:p w14:paraId="728893F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7CA2961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R.A.3.3d </w:t>
            </w:r>
          </w:p>
        </w:tc>
        <w:tc>
          <w:tcPr>
            <w:tcW w:w="4279" w:type="dxa"/>
            <w:tcBorders>
              <w:bottom w:val="single" w:sz="4" w:space="0" w:color="000000"/>
              <w:right w:val="single" w:sz="4" w:space="0" w:color="000000"/>
            </w:tcBorders>
            <w:shd w:val="clear" w:color="auto" w:fill="auto"/>
            <w:vAlign w:val="center"/>
          </w:tcPr>
          <w:p w14:paraId="0466001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 Sistema Gestione Deleghe (SGD) digitali al fine di agevolare la fruizione dei servizi online attraverso soggetti delegati </w:t>
            </w:r>
          </w:p>
        </w:tc>
        <w:tc>
          <w:tcPr>
            <w:tcW w:w="4281" w:type="dxa"/>
            <w:tcBorders>
              <w:bottom w:val="single" w:sz="4" w:space="0" w:color="000000"/>
              <w:right w:val="single" w:sz="8" w:space="0" w:color="000000"/>
            </w:tcBorders>
            <w:shd w:val="clear" w:color="auto" w:fill="auto"/>
            <w:vAlign w:val="center"/>
          </w:tcPr>
          <w:p w14:paraId="581E9B0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 Sistema Gestione Deleghe (SGD) digitali al fine di agevolare la fruizione dei servizi online attraverso soggetti delegati </w:t>
            </w:r>
          </w:p>
        </w:tc>
      </w:tr>
      <w:tr w:rsidR="00C77C37" w14:paraId="6BA0E080" w14:textId="77777777">
        <w:trPr>
          <w:trHeight w:val="300"/>
        </w:trPr>
        <w:tc>
          <w:tcPr>
            <w:tcW w:w="697" w:type="dxa"/>
            <w:vMerge/>
            <w:tcBorders>
              <w:top w:val="single" w:sz="4" w:space="0" w:color="000000"/>
              <w:left w:val="single" w:sz="8" w:space="0" w:color="000000"/>
              <w:bottom w:val="single" w:sz="8" w:space="0" w:color="000000"/>
              <w:right w:val="single" w:sz="4" w:space="0" w:color="000000"/>
            </w:tcBorders>
            <w:vAlign w:val="center"/>
          </w:tcPr>
          <w:p w14:paraId="60886F1C"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top w:val="single" w:sz="4" w:space="0" w:color="000000"/>
              <w:left w:val="single" w:sz="4" w:space="0" w:color="000000"/>
              <w:bottom w:val="single" w:sz="8" w:space="0" w:color="000000"/>
              <w:right w:val="single" w:sz="4" w:space="0" w:color="000000"/>
            </w:tcBorders>
            <w:vAlign w:val="center"/>
          </w:tcPr>
          <w:p w14:paraId="6D1B5DE2"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top w:val="single" w:sz="4" w:space="0" w:color="000000"/>
              <w:bottom w:val="single" w:sz="4" w:space="0" w:color="000000"/>
              <w:right w:val="single" w:sz="4" w:space="0" w:color="000000"/>
            </w:tcBorders>
            <w:shd w:val="clear" w:color="auto" w:fill="auto"/>
            <w:vAlign w:val="center"/>
          </w:tcPr>
          <w:p w14:paraId="4DEDA9B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R.A.3.3e </w:t>
            </w:r>
          </w:p>
        </w:tc>
        <w:tc>
          <w:tcPr>
            <w:tcW w:w="4279" w:type="dxa"/>
            <w:tcBorders>
              <w:top w:val="single" w:sz="4" w:space="0" w:color="000000"/>
              <w:bottom w:val="single" w:sz="4" w:space="0" w:color="000000"/>
              <w:right w:val="single" w:sz="4" w:space="0" w:color="000000"/>
            </w:tcBorders>
            <w:shd w:val="clear" w:color="auto" w:fill="auto"/>
            <w:vAlign w:val="center"/>
          </w:tcPr>
          <w:p w14:paraId="319428F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della Piattaforma Notifiche Digitali (PND) </w:t>
            </w:r>
          </w:p>
        </w:tc>
        <w:tc>
          <w:tcPr>
            <w:tcW w:w="4281" w:type="dxa"/>
            <w:tcBorders>
              <w:top w:val="single" w:sz="4" w:space="0" w:color="000000"/>
              <w:bottom w:val="single" w:sz="4" w:space="0" w:color="000000"/>
              <w:right w:val="single" w:sz="8" w:space="0" w:color="000000"/>
            </w:tcBorders>
            <w:shd w:val="clear" w:color="auto" w:fill="auto"/>
            <w:vAlign w:val="center"/>
          </w:tcPr>
          <w:p w14:paraId="1BF39B7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della Piattaforma Notifiche Digitali (PND) </w:t>
            </w:r>
          </w:p>
        </w:tc>
      </w:tr>
      <w:tr w:rsidR="00C77C37" w14:paraId="732FCAC5" w14:textId="77777777">
        <w:trPr>
          <w:trHeight w:val="465"/>
        </w:trPr>
        <w:tc>
          <w:tcPr>
            <w:tcW w:w="697" w:type="dxa"/>
            <w:vMerge/>
            <w:tcBorders>
              <w:left w:val="single" w:sz="8" w:space="0" w:color="000000"/>
              <w:bottom w:val="single" w:sz="8" w:space="0" w:color="000000"/>
              <w:right w:val="single" w:sz="4" w:space="0" w:color="000000"/>
            </w:tcBorders>
            <w:vAlign w:val="center"/>
          </w:tcPr>
          <w:p w14:paraId="15D18364"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single" w:sz="8" w:space="0" w:color="000000"/>
              <w:right w:val="single" w:sz="4" w:space="0" w:color="000000"/>
            </w:tcBorders>
            <w:vAlign w:val="center"/>
          </w:tcPr>
          <w:p w14:paraId="21AA5498"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8" w:space="0" w:color="000000"/>
              <w:right w:val="single" w:sz="4" w:space="0" w:color="000000"/>
            </w:tcBorders>
            <w:shd w:val="clear" w:color="auto" w:fill="auto"/>
            <w:vAlign w:val="center"/>
          </w:tcPr>
          <w:p w14:paraId="1E7C06B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R.A.3.3f </w:t>
            </w:r>
          </w:p>
        </w:tc>
        <w:tc>
          <w:tcPr>
            <w:tcW w:w="4279" w:type="dxa"/>
            <w:tcBorders>
              <w:bottom w:val="single" w:sz="8" w:space="0" w:color="000000"/>
              <w:right w:val="single" w:sz="4" w:space="0" w:color="000000"/>
            </w:tcBorders>
            <w:shd w:val="clear" w:color="auto" w:fill="auto"/>
            <w:vAlign w:val="center"/>
          </w:tcPr>
          <w:p w14:paraId="171A568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Realizzazione della Piattaforma Digitale Nazionale Dati (PDND) Interoperabilità </w:t>
            </w:r>
          </w:p>
        </w:tc>
        <w:tc>
          <w:tcPr>
            <w:tcW w:w="4281" w:type="dxa"/>
            <w:tcBorders>
              <w:bottom w:val="single" w:sz="8" w:space="0" w:color="000000"/>
              <w:right w:val="single" w:sz="8" w:space="0" w:color="000000"/>
            </w:tcBorders>
            <w:shd w:val="clear" w:color="auto" w:fill="auto"/>
            <w:vAlign w:val="center"/>
          </w:tcPr>
          <w:p w14:paraId="687532E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r>
    </w:tbl>
    <w:p w14:paraId="0B82E081"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010B97E7"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36EB6EEF"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INFRASTRUTTURE</w:t>
            </w:r>
            <w:r>
              <w:rPr>
                <w:rFonts w:eastAsia="Times New Roman" w:cs="Calibri"/>
                <w:b/>
                <w:bCs/>
                <w:color w:val="000000"/>
                <w:sz w:val="16"/>
                <w:szCs w:val="16"/>
                <w:lang w:eastAsia="en-GB"/>
              </w:rPr>
              <w:t xml:space="preserve"> </w:t>
            </w:r>
          </w:p>
        </w:tc>
      </w:tr>
      <w:tr w:rsidR="00C77C37" w14:paraId="2296AE1E"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34CF1A90"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Ob. </w:t>
            </w:r>
          </w:p>
        </w:tc>
        <w:tc>
          <w:tcPr>
            <w:tcW w:w="2282" w:type="dxa"/>
            <w:tcBorders>
              <w:bottom w:val="single" w:sz="8" w:space="0" w:color="000000"/>
              <w:right w:val="single" w:sz="4" w:space="0" w:color="000000"/>
            </w:tcBorders>
            <w:shd w:val="clear" w:color="000000" w:fill="757171"/>
            <w:vAlign w:val="bottom"/>
          </w:tcPr>
          <w:p w14:paraId="083ACF26"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532992B3"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7CEDAD76"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45247483"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261B186A" w14:textId="77777777">
        <w:trPr>
          <w:trHeight w:val="465"/>
        </w:trPr>
        <w:tc>
          <w:tcPr>
            <w:tcW w:w="697" w:type="dxa"/>
            <w:vMerge w:val="restart"/>
            <w:tcBorders>
              <w:left w:val="single" w:sz="8" w:space="0" w:color="000000"/>
              <w:bottom w:val="single" w:sz="4" w:space="0" w:color="000000"/>
              <w:right w:val="single" w:sz="4" w:space="0" w:color="000000"/>
            </w:tcBorders>
            <w:shd w:val="clear" w:color="auto" w:fill="auto"/>
            <w:vAlign w:val="center"/>
          </w:tcPr>
          <w:p w14:paraId="09A2774A"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OB.4.1 </w:t>
            </w:r>
          </w:p>
        </w:tc>
        <w:tc>
          <w:tcPr>
            <w:tcW w:w="2282" w:type="dxa"/>
            <w:vMerge w:val="restart"/>
            <w:tcBorders>
              <w:left w:val="single" w:sz="4" w:space="0" w:color="000000"/>
              <w:bottom w:val="single" w:sz="4" w:space="0" w:color="000000"/>
              <w:right w:val="single" w:sz="4" w:space="0" w:color="000000"/>
            </w:tcBorders>
            <w:shd w:val="clear" w:color="auto" w:fill="auto"/>
            <w:vAlign w:val="center"/>
          </w:tcPr>
          <w:p w14:paraId="38C702D0"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la qualità e la sicurezza dei servizi digitali erogati dalle Amministrazioni locali migrandone gli applicativi on-premise (data center Gruppo B) verso infrastrutture e servizi cloud qualificati </w:t>
            </w:r>
          </w:p>
        </w:tc>
        <w:tc>
          <w:tcPr>
            <w:tcW w:w="1281" w:type="dxa"/>
            <w:tcBorders>
              <w:bottom w:val="single" w:sz="4" w:space="0" w:color="000000"/>
              <w:right w:val="single" w:sz="4" w:space="0" w:color="000000"/>
            </w:tcBorders>
            <w:shd w:val="clear" w:color="auto" w:fill="auto"/>
            <w:vAlign w:val="center"/>
          </w:tcPr>
          <w:p w14:paraId="45C3B07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R.A.1.1a</w:t>
            </w:r>
          </w:p>
        </w:tc>
        <w:tc>
          <w:tcPr>
            <w:tcW w:w="4279" w:type="dxa"/>
            <w:tcBorders>
              <w:bottom w:val="single" w:sz="4" w:space="0" w:color="000000"/>
              <w:right w:val="single" w:sz="4" w:space="0" w:color="000000"/>
            </w:tcBorders>
            <w:shd w:val="clear" w:color="auto" w:fill="auto"/>
            <w:vAlign w:val="center"/>
          </w:tcPr>
          <w:p w14:paraId="7F569DD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adozione del programma di abilitazione al cloud </w:t>
            </w:r>
          </w:p>
        </w:tc>
        <w:tc>
          <w:tcPr>
            <w:tcW w:w="4281" w:type="dxa"/>
            <w:tcBorders>
              <w:bottom w:val="single" w:sz="4" w:space="0" w:color="000000"/>
              <w:right w:val="single" w:sz="8" w:space="0" w:color="000000"/>
            </w:tcBorders>
            <w:shd w:val="clear" w:color="auto" w:fill="auto"/>
            <w:vAlign w:val="center"/>
          </w:tcPr>
          <w:p w14:paraId="38F18F8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Numero di amministrazioni che hanno inviato la classificazione di dati e servizi e il piano di migrazione </w:t>
            </w:r>
          </w:p>
        </w:tc>
      </w:tr>
      <w:tr w:rsidR="00C77C37" w14:paraId="479ECFE0" w14:textId="77777777">
        <w:trPr>
          <w:trHeight w:val="300"/>
        </w:trPr>
        <w:tc>
          <w:tcPr>
            <w:tcW w:w="697" w:type="dxa"/>
            <w:vMerge/>
            <w:tcBorders>
              <w:left w:val="single" w:sz="8" w:space="0" w:color="000000"/>
              <w:bottom w:val="double" w:sz="6" w:space="0" w:color="000000"/>
              <w:right w:val="single" w:sz="4" w:space="0" w:color="000000"/>
            </w:tcBorders>
            <w:vAlign w:val="center"/>
          </w:tcPr>
          <w:p w14:paraId="78845819"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08349CC3"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656EAB0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R.A.4.1b </w:t>
            </w:r>
          </w:p>
        </w:tc>
        <w:tc>
          <w:tcPr>
            <w:tcW w:w="4279" w:type="dxa"/>
            <w:tcBorders>
              <w:bottom w:val="single" w:sz="4" w:space="0" w:color="000000"/>
              <w:right w:val="single" w:sz="4" w:space="0" w:color="000000"/>
            </w:tcBorders>
            <w:shd w:val="clear" w:color="auto" w:fill="auto"/>
            <w:vAlign w:val="center"/>
          </w:tcPr>
          <w:p w14:paraId="61A4CCC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Numero di Amministrazioni locali migrate </w:t>
            </w:r>
          </w:p>
        </w:tc>
        <w:tc>
          <w:tcPr>
            <w:tcW w:w="4281" w:type="dxa"/>
            <w:tcBorders>
              <w:bottom w:val="single" w:sz="4" w:space="0" w:color="000000"/>
              <w:right w:val="single" w:sz="8" w:space="0" w:color="000000"/>
            </w:tcBorders>
            <w:shd w:val="clear" w:color="auto" w:fill="auto"/>
            <w:vAlign w:val="center"/>
          </w:tcPr>
          <w:p w14:paraId="0A505A2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Numero di Amministrazioni migrate </w:t>
            </w:r>
          </w:p>
        </w:tc>
      </w:tr>
      <w:tr w:rsidR="00C77C37" w14:paraId="356F7B15" w14:textId="77777777">
        <w:trPr>
          <w:trHeight w:val="2100"/>
        </w:trPr>
        <w:tc>
          <w:tcPr>
            <w:tcW w:w="697" w:type="dxa"/>
            <w:vMerge/>
            <w:tcBorders>
              <w:left w:val="single" w:sz="8" w:space="0" w:color="000000"/>
              <w:bottom w:val="single" w:sz="4" w:space="0" w:color="000000"/>
              <w:right w:val="single" w:sz="4" w:space="0" w:color="000000"/>
            </w:tcBorders>
            <w:vAlign w:val="center"/>
          </w:tcPr>
          <w:p w14:paraId="32999214"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single" w:sz="4" w:space="0" w:color="000000"/>
              <w:right w:val="single" w:sz="4" w:space="0" w:color="000000"/>
            </w:tcBorders>
            <w:vAlign w:val="center"/>
          </w:tcPr>
          <w:p w14:paraId="4885CA9A"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4FBA5EC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R.A.1.1c </w:t>
            </w:r>
          </w:p>
        </w:tc>
        <w:tc>
          <w:tcPr>
            <w:tcW w:w="4279" w:type="dxa"/>
            <w:tcBorders>
              <w:bottom w:val="single" w:sz="4" w:space="0" w:color="000000"/>
              <w:right w:val="single" w:sz="4" w:space="0" w:color="000000"/>
            </w:tcBorders>
            <w:shd w:val="clear" w:color="auto" w:fill="auto"/>
            <w:vAlign w:val="center"/>
          </w:tcPr>
          <w:p w14:paraId="3BD289D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Ampliamento dell’offerta del Catalogo dei servizi cloud qualificati </w:t>
            </w:r>
          </w:p>
        </w:tc>
        <w:tc>
          <w:tcPr>
            <w:tcW w:w="4281" w:type="dxa"/>
            <w:tcBorders>
              <w:bottom w:val="single" w:sz="4" w:space="0" w:color="000000"/>
              <w:right w:val="single" w:sz="8" w:space="0" w:color="000000"/>
            </w:tcBorders>
            <w:shd w:val="clear" w:color="auto" w:fill="auto"/>
            <w:vAlign w:val="center"/>
          </w:tcPr>
          <w:p w14:paraId="16FE50D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Ampliamento dell’offerta del Catalogo dei servizi cloud qualificati </w:t>
            </w:r>
          </w:p>
        </w:tc>
      </w:tr>
      <w:tr w:rsidR="00C77C37" w14:paraId="449160E7" w14:textId="77777777">
        <w:trPr>
          <w:trHeight w:val="1830"/>
        </w:trPr>
        <w:tc>
          <w:tcPr>
            <w:tcW w:w="697" w:type="dxa"/>
            <w:tcBorders>
              <w:top w:val="single" w:sz="4" w:space="0" w:color="000000"/>
              <w:left w:val="single" w:sz="8" w:space="0" w:color="000000"/>
              <w:bottom w:val="double" w:sz="6" w:space="0" w:color="000000"/>
              <w:right w:val="single" w:sz="4" w:space="0" w:color="000000"/>
            </w:tcBorders>
            <w:shd w:val="clear" w:color="auto" w:fill="auto"/>
            <w:vAlign w:val="center"/>
          </w:tcPr>
          <w:p w14:paraId="10D19299"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OB.4.2 </w:t>
            </w:r>
          </w:p>
        </w:tc>
        <w:tc>
          <w:tcPr>
            <w:tcW w:w="2282" w:type="dxa"/>
            <w:tcBorders>
              <w:top w:val="single" w:sz="4" w:space="0" w:color="000000"/>
              <w:bottom w:val="double" w:sz="6" w:space="0" w:color="000000"/>
              <w:right w:val="single" w:sz="4" w:space="0" w:color="000000"/>
            </w:tcBorders>
            <w:shd w:val="clear" w:color="auto" w:fill="auto"/>
            <w:vAlign w:val="center"/>
          </w:tcPr>
          <w:p w14:paraId="52F1B36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la qualità e la sicurezza dei servizi digitali erogati dalle Amministrazioni centrali migrandone gli applicativi on-premise (data center Gruppo B) verso infrastrutture e servizi cloud </w:t>
            </w:r>
            <w:r>
              <w:rPr>
                <w:rFonts w:eastAsia="Times New Roman" w:cs="Calibri"/>
                <w:color w:val="000000"/>
                <w:sz w:val="16"/>
                <w:szCs w:val="16"/>
                <w:lang w:eastAsia="en-GB"/>
              </w:rPr>
              <w:lastRenderedPageBreak/>
              <w:t xml:space="preserve">qualificati (incluso PSN)  </w:t>
            </w:r>
          </w:p>
        </w:tc>
        <w:tc>
          <w:tcPr>
            <w:tcW w:w="1281" w:type="dxa"/>
            <w:tcBorders>
              <w:top w:val="single" w:sz="4" w:space="0" w:color="000000"/>
              <w:bottom w:val="double" w:sz="6" w:space="0" w:color="000000"/>
              <w:right w:val="single" w:sz="4" w:space="0" w:color="000000"/>
            </w:tcBorders>
            <w:shd w:val="clear" w:color="auto" w:fill="auto"/>
            <w:vAlign w:val="center"/>
          </w:tcPr>
          <w:p w14:paraId="1D7B41C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lastRenderedPageBreak/>
              <w:t xml:space="preserve">R.A.4.2b </w:t>
            </w:r>
          </w:p>
        </w:tc>
        <w:tc>
          <w:tcPr>
            <w:tcW w:w="4279" w:type="dxa"/>
            <w:tcBorders>
              <w:top w:val="single" w:sz="4" w:space="0" w:color="000000"/>
              <w:bottom w:val="double" w:sz="6" w:space="0" w:color="000000"/>
              <w:right w:val="single" w:sz="4" w:space="0" w:color="000000"/>
            </w:tcBorders>
            <w:shd w:val="clear" w:color="auto" w:fill="auto"/>
            <w:vAlign w:val="center"/>
          </w:tcPr>
          <w:p w14:paraId="1C96D88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Numero di Amministrazioni centrali migrate </w:t>
            </w:r>
          </w:p>
        </w:tc>
        <w:tc>
          <w:tcPr>
            <w:tcW w:w="4281" w:type="dxa"/>
            <w:tcBorders>
              <w:top w:val="single" w:sz="4" w:space="0" w:color="000000"/>
              <w:bottom w:val="double" w:sz="6" w:space="0" w:color="000000"/>
              <w:right w:val="single" w:sz="8" w:space="0" w:color="000000"/>
            </w:tcBorders>
            <w:shd w:val="clear" w:color="auto" w:fill="auto"/>
            <w:vAlign w:val="center"/>
          </w:tcPr>
          <w:p w14:paraId="61FD116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r>
      <w:tr w:rsidR="00C77C37" w14:paraId="104D48AD" w14:textId="77777777">
        <w:trPr>
          <w:trHeight w:val="1125"/>
        </w:trPr>
        <w:tc>
          <w:tcPr>
            <w:tcW w:w="697" w:type="dxa"/>
            <w:vMerge w:val="restart"/>
            <w:tcBorders>
              <w:left w:val="single" w:sz="8" w:space="0" w:color="000000"/>
              <w:bottom w:val="single" w:sz="8" w:space="0" w:color="000000"/>
              <w:right w:val="single" w:sz="4" w:space="0" w:color="000000"/>
            </w:tcBorders>
            <w:shd w:val="clear" w:color="auto" w:fill="auto"/>
            <w:vAlign w:val="center"/>
          </w:tcPr>
          <w:p w14:paraId="183F5882"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OB.4.3 </w:t>
            </w:r>
          </w:p>
        </w:tc>
        <w:tc>
          <w:tcPr>
            <w:tcW w:w="2282" w:type="dxa"/>
            <w:vMerge w:val="restart"/>
            <w:tcBorders>
              <w:left w:val="single" w:sz="4" w:space="0" w:color="000000"/>
              <w:bottom w:val="single" w:sz="8" w:space="0" w:color="000000"/>
              <w:right w:val="single" w:sz="4" w:space="0" w:color="000000"/>
            </w:tcBorders>
            <w:shd w:val="clear" w:color="auto" w:fill="auto"/>
            <w:vAlign w:val="center"/>
          </w:tcPr>
          <w:p w14:paraId="51333DDB"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la fruizione dei servizi digitali per cittadini ed imprese tramite il potenziamento della connettività per le PA </w:t>
            </w:r>
          </w:p>
        </w:tc>
        <w:tc>
          <w:tcPr>
            <w:tcW w:w="1281" w:type="dxa"/>
            <w:tcBorders>
              <w:bottom w:val="single" w:sz="4" w:space="0" w:color="000000"/>
              <w:right w:val="single" w:sz="4" w:space="0" w:color="000000"/>
            </w:tcBorders>
            <w:shd w:val="clear" w:color="auto" w:fill="auto"/>
            <w:vAlign w:val="center"/>
          </w:tcPr>
          <w:p w14:paraId="35D8D11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R.A.4.3a </w:t>
            </w:r>
          </w:p>
        </w:tc>
        <w:tc>
          <w:tcPr>
            <w:tcW w:w="4279" w:type="dxa"/>
            <w:tcBorders>
              <w:bottom w:val="single" w:sz="4" w:space="0" w:color="000000"/>
              <w:right w:val="single" w:sz="4" w:space="0" w:color="000000"/>
            </w:tcBorders>
            <w:shd w:val="clear" w:color="auto" w:fill="auto"/>
            <w:vAlign w:val="center"/>
          </w:tcPr>
          <w:p w14:paraId="59DAA46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Disponibilità di servizi di connettività Internet a banda larga e ultra larga per le PA locali </w:t>
            </w:r>
          </w:p>
        </w:tc>
        <w:tc>
          <w:tcPr>
            <w:tcW w:w="4281" w:type="dxa"/>
            <w:tcBorders>
              <w:bottom w:val="single" w:sz="4" w:space="0" w:color="000000"/>
              <w:right w:val="single" w:sz="8" w:space="0" w:color="000000"/>
            </w:tcBorders>
            <w:shd w:val="clear" w:color="auto" w:fill="auto"/>
            <w:vAlign w:val="center"/>
          </w:tcPr>
          <w:p w14:paraId="33E26BC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Disponibilità di servizi di connettività Internet a banda larga e ultra larga per le PA locali </w:t>
            </w:r>
          </w:p>
        </w:tc>
      </w:tr>
      <w:tr w:rsidR="00C77C37" w14:paraId="36CE15F8" w14:textId="77777777">
        <w:trPr>
          <w:trHeight w:val="465"/>
        </w:trPr>
        <w:tc>
          <w:tcPr>
            <w:tcW w:w="697" w:type="dxa"/>
            <w:vMerge/>
            <w:tcBorders>
              <w:top w:val="single" w:sz="4" w:space="0" w:color="000000"/>
              <w:left w:val="single" w:sz="8" w:space="0" w:color="000000"/>
              <w:bottom w:val="single" w:sz="8" w:space="0" w:color="000000"/>
              <w:right w:val="single" w:sz="4" w:space="0" w:color="000000"/>
            </w:tcBorders>
            <w:vAlign w:val="center"/>
          </w:tcPr>
          <w:p w14:paraId="7FE9BBB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top w:val="single" w:sz="4" w:space="0" w:color="000000"/>
              <w:left w:val="single" w:sz="4" w:space="0" w:color="000000"/>
              <w:bottom w:val="single" w:sz="8" w:space="0" w:color="000000"/>
              <w:right w:val="single" w:sz="4" w:space="0" w:color="000000"/>
            </w:tcBorders>
            <w:vAlign w:val="center"/>
          </w:tcPr>
          <w:p w14:paraId="44D3FF8D"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top w:val="single" w:sz="4" w:space="0" w:color="000000"/>
              <w:bottom w:val="single" w:sz="8" w:space="0" w:color="000000"/>
              <w:right w:val="single" w:sz="4" w:space="0" w:color="000000"/>
            </w:tcBorders>
            <w:shd w:val="clear" w:color="auto" w:fill="auto"/>
            <w:vAlign w:val="center"/>
          </w:tcPr>
          <w:p w14:paraId="13FF9F9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R.A.4.3b </w:t>
            </w:r>
          </w:p>
        </w:tc>
        <w:tc>
          <w:tcPr>
            <w:tcW w:w="4279" w:type="dxa"/>
            <w:tcBorders>
              <w:top w:val="single" w:sz="4" w:space="0" w:color="000000"/>
              <w:bottom w:val="single" w:sz="8" w:space="0" w:color="000000"/>
              <w:right w:val="single" w:sz="4" w:space="0" w:color="000000"/>
            </w:tcBorders>
            <w:shd w:val="clear" w:color="auto" w:fill="auto"/>
            <w:vAlign w:val="center"/>
          </w:tcPr>
          <w:p w14:paraId="50991AE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Aggiornamento dei servizi di connettività a banda ultra larga nel contratto SPC connettività </w:t>
            </w:r>
          </w:p>
        </w:tc>
        <w:tc>
          <w:tcPr>
            <w:tcW w:w="4281" w:type="dxa"/>
            <w:tcBorders>
              <w:top w:val="single" w:sz="4" w:space="0" w:color="000000"/>
              <w:bottom w:val="single" w:sz="8" w:space="0" w:color="000000"/>
              <w:right w:val="single" w:sz="8" w:space="0" w:color="000000"/>
            </w:tcBorders>
            <w:shd w:val="clear" w:color="auto" w:fill="auto"/>
            <w:vAlign w:val="center"/>
          </w:tcPr>
          <w:p w14:paraId="1CA9BD4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Aggiornamento dei servizi di connettività a banda ultra larga nel contratto SPC connettività </w:t>
            </w:r>
          </w:p>
        </w:tc>
      </w:tr>
    </w:tbl>
    <w:p w14:paraId="1B2D9D25"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4C257AE6" w14:textId="77777777">
        <w:trPr>
          <w:trHeight w:val="315"/>
        </w:trPr>
        <w:tc>
          <w:tcPr>
            <w:tcW w:w="12820" w:type="dxa"/>
            <w:gridSpan w:val="5"/>
            <w:tcBorders>
              <w:top w:val="single" w:sz="8" w:space="0" w:color="000000"/>
              <w:left w:val="single" w:sz="8" w:space="0" w:color="000000"/>
              <w:right w:val="single" w:sz="8" w:space="0" w:color="000000"/>
            </w:tcBorders>
            <w:shd w:val="clear" w:color="000000" w:fill="757171"/>
            <w:vAlign w:val="bottom"/>
          </w:tcPr>
          <w:p w14:paraId="3FF243F2"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INTEROPERABILITÀ</w:t>
            </w:r>
            <w:r>
              <w:rPr>
                <w:rFonts w:eastAsia="Times New Roman" w:cs="Calibri"/>
                <w:b/>
                <w:bCs/>
                <w:color w:val="000000"/>
                <w:sz w:val="16"/>
                <w:szCs w:val="16"/>
                <w:lang w:eastAsia="en-GB"/>
              </w:rPr>
              <w:t xml:space="preserve"> </w:t>
            </w:r>
          </w:p>
        </w:tc>
      </w:tr>
      <w:tr w:rsidR="00C77C37" w14:paraId="47D27F69" w14:textId="77777777">
        <w:trPr>
          <w:trHeight w:val="315"/>
        </w:trPr>
        <w:tc>
          <w:tcPr>
            <w:tcW w:w="697" w:type="dxa"/>
            <w:tcBorders>
              <w:top w:val="single" w:sz="8" w:space="0" w:color="000000"/>
              <w:left w:val="single" w:sz="8" w:space="0" w:color="000000"/>
              <w:bottom w:val="single" w:sz="8" w:space="0" w:color="000000"/>
              <w:right w:val="single" w:sz="4" w:space="0" w:color="000000"/>
            </w:tcBorders>
            <w:shd w:val="clear" w:color="000000" w:fill="757171"/>
            <w:vAlign w:val="center"/>
          </w:tcPr>
          <w:p w14:paraId="54E8972E"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Ob. </w:t>
            </w:r>
          </w:p>
        </w:tc>
        <w:tc>
          <w:tcPr>
            <w:tcW w:w="2282" w:type="dxa"/>
            <w:tcBorders>
              <w:top w:val="single" w:sz="8" w:space="0" w:color="000000"/>
              <w:bottom w:val="single" w:sz="8" w:space="0" w:color="000000"/>
              <w:right w:val="single" w:sz="4" w:space="0" w:color="000000"/>
            </w:tcBorders>
            <w:shd w:val="clear" w:color="000000" w:fill="757171"/>
            <w:vAlign w:val="bottom"/>
          </w:tcPr>
          <w:p w14:paraId="79FCA071"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top w:val="single" w:sz="8" w:space="0" w:color="000000"/>
              <w:bottom w:val="single" w:sz="8" w:space="0" w:color="000000"/>
              <w:right w:val="single" w:sz="4" w:space="0" w:color="000000"/>
            </w:tcBorders>
            <w:shd w:val="clear" w:color="000000" w:fill="757171"/>
            <w:vAlign w:val="bottom"/>
          </w:tcPr>
          <w:p w14:paraId="6BA3FBFF"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top w:val="single" w:sz="8" w:space="0" w:color="000000"/>
              <w:bottom w:val="single" w:sz="8" w:space="0" w:color="000000"/>
              <w:right w:val="single" w:sz="4" w:space="0" w:color="000000"/>
            </w:tcBorders>
            <w:shd w:val="clear" w:color="000000" w:fill="757171"/>
            <w:vAlign w:val="bottom"/>
          </w:tcPr>
          <w:p w14:paraId="0D0743AD"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top w:val="single" w:sz="8" w:space="0" w:color="000000"/>
              <w:bottom w:val="single" w:sz="8" w:space="0" w:color="000000"/>
              <w:right w:val="single" w:sz="8" w:space="0" w:color="000000"/>
            </w:tcBorders>
            <w:shd w:val="clear" w:color="000000" w:fill="757171"/>
            <w:vAlign w:val="bottom"/>
          </w:tcPr>
          <w:p w14:paraId="6ABBF5D3"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33F491C1" w14:textId="77777777">
        <w:trPr>
          <w:trHeight w:val="900"/>
        </w:trPr>
        <w:tc>
          <w:tcPr>
            <w:tcW w:w="697" w:type="dxa"/>
            <w:vMerge w:val="restart"/>
            <w:tcBorders>
              <w:left w:val="single" w:sz="8" w:space="0" w:color="000000"/>
              <w:bottom w:val="double" w:sz="6" w:space="0" w:color="000000"/>
              <w:right w:val="single" w:sz="4" w:space="0" w:color="000000"/>
            </w:tcBorders>
            <w:shd w:val="clear" w:color="auto" w:fill="auto"/>
            <w:vAlign w:val="center"/>
          </w:tcPr>
          <w:p w14:paraId="716EBE3A"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OB.5.1 </w:t>
            </w:r>
          </w:p>
        </w:tc>
        <w:tc>
          <w:tcPr>
            <w:tcW w:w="2282" w:type="dxa"/>
            <w:vMerge w:val="restart"/>
            <w:tcBorders>
              <w:left w:val="single" w:sz="4" w:space="0" w:color="000000"/>
              <w:bottom w:val="double" w:sz="6" w:space="0" w:color="000000"/>
              <w:right w:val="single" w:sz="4" w:space="0" w:color="000000"/>
            </w:tcBorders>
            <w:shd w:val="clear" w:color="auto" w:fill="auto"/>
            <w:vAlign w:val="center"/>
          </w:tcPr>
          <w:p w14:paraId="4084A42B"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Favorire l’applicazione della Linea guida sul Modello di Interoperabilità da parte degli erogatori di API  </w:t>
            </w:r>
          </w:p>
        </w:tc>
        <w:tc>
          <w:tcPr>
            <w:tcW w:w="1281" w:type="dxa"/>
            <w:tcBorders>
              <w:bottom w:val="single" w:sz="4" w:space="0" w:color="000000"/>
              <w:right w:val="single" w:sz="4" w:space="0" w:color="000000"/>
            </w:tcBorders>
            <w:shd w:val="clear" w:color="auto" w:fill="auto"/>
            <w:vAlign w:val="center"/>
          </w:tcPr>
          <w:p w14:paraId="3B9ACB1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R.A.5.1a </w:t>
            </w:r>
          </w:p>
        </w:tc>
        <w:tc>
          <w:tcPr>
            <w:tcW w:w="4279" w:type="dxa"/>
            <w:tcBorders>
              <w:bottom w:val="single" w:sz="4" w:space="0" w:color="000000"/>
              <w:right w:val="single" w:sz="4" w:space="0" w:color="000000"/>
            </w:tcBorders>
            <w:shd w:val="clear" w:color="auto" w:fill="auto"/>
            <w:vAlign w:val="center"/>
          </w:tcPr>
          <w:p w14:paraId="3C6DA6B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API presenti nel Catalogo - PDND  </w:t>
            </w:r>
          </w:p>
        </w:tc>
        <w:tc>
          <w:tcPr>
            <w:tcW w:w="4281" w:type="dxa"/>
            <w:tcBorders>
              <w:bottom w:val="single" w:sz="4" w:space="0" w:color="000000"/>
              <w:right w:val="single" w:sz="8" w:space="0" w:color="000000"/>
            </w:tcBorders>
            <w:shd w:val="clear" w:color="auto" w:fill="auto"/>
            <w:vAlign w:val="center"/>
          </w:tcPr>
          <w:p w14:paraId="55A19C4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API presenti nel Catalogo API </w:t>
            </w:r>
          </w:p>
        </w:tc>
      </w:tr>
      <w:tr w:rsidR="00C77C37" w14:paraId="1C743FFC" w14:textId="77777777">
        <w:trPr>
          <w:trHeight w:val="465"/>
        </w:trPr>
        <w:tc>
          <w:tcPr>
            <w:tcW w:w="697" w:type="dxa"/>
            <w:vMerge/>
            <w:tcBorders>
              <w:left w:val="single" w:sz="8" w:space="0" w:color="000000"/>
              <w:bottom w:val="double" w:sz="6" w:space="0" w:color="000000"/>
              <w:right w:val="single" w:sz="4" w:space="0" w:color="000000"/>
            </w:tcBorders>
            <w:vAlign w:val="center"/>
          </w:tcPr>
          <w:p w14:paraId="488863A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336466B2"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2DC490C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R.A.5.1b </w:t>
            </w:r>
          </w:p>
        </w:tc>
        <w:tc>
          <w:tcPr>
            <w:tcW w:w="4279" w:type="dxa"/>
            <w:tcBorders>
              <w:bottom w:val="double" w:sz="6" w:space="0" w:color="000000"/>
              <w:right w:val="single" w:sz="4" w:space="0" w:color="000000"/>
            </w:tcBorders>
            <w:shd w:val="clear" w:color="auto" w:fill="auto"/>
            <w:vAlign w:val="center"/>
          </w:tcPr>
          <w:p w14:paraId="68F23100"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Amministrazioni registrate in PDND API ed erogatrici di API </w:t>
            </w:r>
          </w:p>
        </w:tc>
        <w:tc>
          <w:tcPr>
            <w:tcW w:w="4281" w:type="dxa"/>
            <w:tcBorders>
              <w:bottom w:val="double" w:sz="6" w:space="0" w:color="000000"/>
              <w:right w:val="single" w:sz="8" w:space="0" w:color="000000"/>
            </w:tcBorders>
            <w:shd w:val="clear" w:color="auto" w:fill="auto"/>
            <w:vAlign w:val="center"/>
          </w:tcPr>
          <w:p w14:paraId="2E4EB4A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Amministrazioni registrate in PDND API ed erogatrici di API </w:t>
            </w:r>
          </w:p>
        </w:tc>
      </w:tr>
      <w:tr w:rsidR="00C77C37" w14:paraId="39A47FE5" w14:textId="77777777">
        <w:trPr>
          <w:trHeight w:val="465"/>
        </w:trPr>
        <w:tc>
          <w:tcPr>
            <w:tcW w:w="697" w:type="dxa"/>
            <w:vMerge w:val="restart"/>
            <w:tcBorders>
              <w:left w:val="single" w:sz="8" w:space="0" w:color="000000"/>
              <w:bottom w:val="double" w:sz="6" w:space="0" w:color="000000"/>
              <w:right w:val="single" w:sz="4" w:space="0" w:color="000000"/>
            </w:tcBorders>
            <w:shd w:val="clear" w:color="auto" w:fill="auto"/>
            <w:vAlign w:val="center"/>
          </w:tcPr>
          <w:p w14:paraId="32C7629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OB.5.2 </w:t>
            </w:r>
          </w:p>
        </w:tc>
        <w:tc>
          <w:tcPr>
            <w:tcW w:w="2282" w:type="dxa"/>
            <w:vMerge w:val="restart"/>
            <w:tcBorders>
              <w:left w:val="single" w:sz="4" w:space="0" w:color="000000"/>
              <w:bottom w:val="double" w:sz="6" w:space="0" w:color="000000"/>
              <w:right w:val="single" w:sz="4" w:space="0" w:color="000000"/>
            </w:tcBorders>
            <w:shd w:val="clear" w:color="auto" w:fill="auto"/>
            <w:vAlign w:val="center"/>
          </w:tcPr>
          <w:p w14:paraId="261D1B1C"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Adottare API conformi al Modello di Interoperabilità </w:t>
            </w:r>
          </w:p>
        </w:tc>
        <w:tc>
          <w:tcPr>
            <w:tcW w:w="1281" w:type="dxa"/>
            <w:tcBorders>
              <w:bottom w:val="single" w:sz="4" w:space="0" w:color="000000"/>
              <w:right w:val="single" w:sz="4" w:space="0" w:color="000000"/>
            </w:tcBorders>
            <w:shd w:val="clear" w:color="auto" w:fill="auto"/>
            <w:vAlign w:val="center"/>
          </w:tcPr>
          <w:p w14:paraId="45A5D11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R.A.5.2a </w:t>
            </w:r>
          </w:p>
        </w:tc>
        <w:tc>
          <w:tcPr>
            <w:tcW w:w="4279" w:type="dxa"/>
            <w:tcBorders>
              <w:bottom w:val="single" w:sz="4" w:space="0" w:color="000000"/>
              <w:right w:val="single" w:sz="4" w:space="0" w:color="000000"/>
            </w:tcBorders>
            <w:shd w:val="clear" w:color="auto" w:fill="auto"/>
            <w:vAlign w:val="center"/>
          </w:tcPr>
          <w:p w14:paraId="055464D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Amministrazioni registrate in PDND e fruitrici di API </w:t>
            </w:r>
          </w:p>
        </w:tc>
        <w:tc>
          <w:tcPr>
            <w:tcW w:w="4281" w:type="dxa"/>
            <w:tcBorders>
              <w:bottom w:val="single" w:sz="4" w:space="0" w:color="000000"/>
              <w:right w:val="single" w:sz="8" w:space="0" w:color="000000"/>
            </w:tcBorders>
            <w:shd w:val="clear" w:color="auto" w:fill="auto"/>
            <w:vAlign w:val="center"/>
          </w:tcPr>
          <w:p w14:paraId="11AD1FA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Amministrazioni registrate in PDND e fruitrici di API </w:t>
            </w:r>
          </w:p>
        </w:tc>
      </w:tr>
      <w:tr w:rsidR="00C77C37" w14:paraId="7811888D" w14:textId="77777777">
        <w:trPr>
          <w:trHeight w:val="465"/>
        </w:trPr>
        <w:tc>
          <w:tcPr>
            <w:tcW w:w="697" w:type="dxa"/>
            <w:vMerge/>
            <w:tcBorders>
              <w:left w:val="single" w:sz="8" w:space="0" w:color="000000"/>
              <w:bottom w:val="double" w:sz="6" w:space="0" w:color="000000"/>
              <w:right w:val="single" w:sz="4" w:space="0" w:color="000000"/>
            </w:tcBorders>
            <w:vAlign w:val="center"/>
          </w:tcPr>
          <w:p w14:paraId="76CB4470"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6F0D6B21"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70D3C74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R.A.5.2b </w:t>
            </w:r>
          </w:p>
        </w:tc>
        <w:tc>
          <w:tcPr>
            <w:tcW w:w="4279" w:type="dxa"/>
            <w:tcBorders>
              <w:bottom w:val="double" w:sz="6" w:space="0" w:color="000000"/>
              <w:right w:val="single" w:sz="4" w:space="0" w:color="000000"/>
            </w:tcBorders>
            <w:shd w:val="clear" w:color="auto" w:fill="auto"/>
            <w:vAlign w:val="center"/>
          </w:tcPr>
          <w:p w14:paraId="0791A79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autorizzazioni realizzate ad API registrate in PDND </w:t>
            </w:r>
          </w:p>
        </w:tc>
        <w:tc>
          <w:tcPr>
            <w:tcW w:w="4281" w:type="dxa"/>
            <w:tcBorders>
              <w:bottom w:val="double" w:sz="6" w:space="0" w:color="000000"/>
              <w:right w:val="single" w:sz="8" w:space="0" w:color="000000"/>
            </w:tcBorders>
            <w:shd w:val="clear" w:color="auto" w:fill="auto"/>
            <w:vAlign w:val="center"/>
          </w:tcPr>
          <w:p w14:paraId="79D83FB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delle autorizzazioni realizzate ad API registrate in PDND </w:t>
            </w:r>
          </w:p>
        </w:tc>
      </w:tr>
      <w:tr w:rsidR="00C77C37" w14:paraId="522012C0" w14:textId="77777777">
        <w:trPr>
          <w:trHeight w:val="705"/>
        </w:trPr>
        <w:tc>
          <w:tcPr>
            <w:tcW w:w="697" w:type="dxa"/>
            <w:tcBorders>
              <w:left w:val="single" w:sz="8" w:space="0" w:color="000000"/>
              <w:bottom w:val="single" w:sz="8" w:space="0" w:color="000000"/>
              <w:right w:val="single" w:sz="4" w:space="0" w:color="000000"/>
            </w:tcBorders>
            <w:shd w:val="clear" w:color="auto" w:fill="auto"/>
            <w:vAlign w:val="center"/>
          </w:tcPr>
          <w:p w14:paraId="53B07C3D"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OB.5.3 </w:t>
            </w:r>
          </w:p>
        </w:tc>
        <w:tc>
          <w:tcPr>
            <w:tcW w:w="2282" w:type="dxa"/>
            <w:tcBorders>
              <w:bottom w:val="single" w:sz="8" w:space="0" w:color="000000"/>
              <w:right w:val="single" w:sz="4" w:space="0" w:color="000000"/>
            </w:tcBorders>
            <w:shd w:val="clear" w:color="auto" w:fill="auto"/>
            <w:vAlign w:val="center"/>
          </w:tcPr>
          <w:p w14:paraId="349B031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Modelli e regole per l’erogazione integrata di servizi interoperabili </w:t>
            </w:r>
          </w:p>
        </w:tc>
        <w:tc>
          <w:tcPr>
            <w:tcW w:w="1281" w:type="dxa"/>
            <w:tcBorders>
              <w:bottom w:val="single" w:sz="8" w:space="0" w:color="000000"/>
              <w:right w:val="single" w:sz="4" w:space="0" w:color="000000"/>
            </w:tcBorders>
            <w:shd w:val="clear" w:color="auto" w:fill="auto"/>
            <w:vAlign w:val="center"/>
          </w:tcPr>
          <w:p w14:paraId="39D2FF9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R.A.5.3a </w:t>
            </w:r>
          </w:p>
        </w:tc>
        <w:tc>
          <w:tcPr>
            <w:tcW w:w="4279" w:type="dxa"/>
            <w:tcBorders>
              <w:bottom w:val="single" w:sz="8" w:space="0" w:color="000000"/>
              <w:right w:val="single" w:sz="4" w:space="0" w:color="000000"/>
            </w:tcBorders>
            <w:shd w:val="clear" w:color="auto" w:fill="auto"/>
            <w:vAlign w:val="center"/>
          </w:tcPr>
          <w:p w14:paraId="6EA358EE"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Ampliamento del numero delle Amministrazioni coinvolte nell’evoluzione della Linea guida sul Modello di Interoperabilità per la PA     </w:t>
            </w:r>
          </w:p>
        </w:tc>
        <w:tc>
          <w:tcPr>
            <w:tcW w:w="4281" w:type="dxa"/>
            <w:tcBorders>
              <w:bottom w:val="single" w:sz="8" w:space="0" w:color="000000"/>
              <w:right w:val="single" w:sz="8" w:space="0" w:color="000000"/>
            </w:tcBorders>
            <w:shd w:val="clear" w:color="auto" w:fill="auto"/>
            <w:vAlign w:val="center"/>
          </w:tcPr>
          <w:p w14:paraId="0B979AF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Ampliamento del numero delle Amministrazioni coinvolte nell’evoluzione delle Linee guida sull'Interoperabilità tecnica delle Pubbliche Amministrazioni </w:t>
            </w:r>
          </w:p>
        </w:tc>
      </w:tr>
    </w:tbl>
    <w:p w14:paraId="337C2B9D"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091BDA7C"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3DA1F409"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SICUREZZA</w:t>
            </w:r>
            <w:r>
              <w:rPr>
                <w:rFonts w:eastAsia="Times New Roman" w:cs="Calibri"/>
                <w:b/>
                <w:bCs/>
                <w:color w:val="000000"/>
                <w:sz w:val="16"/>
                <w:szCs w:val="16"/>
                <w:lang w:eastAsia="en-GB"/>
              </w:rPr>
              <w:t xml:space="preserve"> </w:t>
            </w:r>
            <w:r>
              <w:rPr>
                <w:rFonts w:eastAsia="Times New Roman" w:cs="Calibri"/>
                <w:color w:val="FFFFFF"/>
                <w:lang w:eastAsia="en-GB"/>
              </w:rPr>
              <w:t>INFORMATICA</w:t>
            </w:r>
          </w:p>
        </w:tc>
      </w:tr>
      <w:tr w:rsidR="00C77C37" w14:paraId="50CCDAC4"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0C997907"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Ob. </w:t>
            </w:r>
          </w:p>
        </w:tc>
        <w:tc>
          <w:tcPr>
            <w:tcW w:w="2282" w:type="dxa"/>
            <w:tcBorders>
              <w:bottom w:val="single" w:sz="8" w:space="0" w:color="000000"/>
              <w:right w:val="single" w:sz="4" w:space="0" w:color="000000"/>
            </w:tcBorders>
            <w:shd w:val="clear" w:color="000000" w:fill="757171"/>
            <w:vAlign w:val="bottom"/>
          </w:tcPr>
          <w:p w14:paraId="76C4BAEF"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74446845"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7F610C3C"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491F4CA9"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5077133F" w14:textId="77777777">
        <w:trPr>
          <w:trHeight w:val="690"/>
        </w:trPr>
        <w:tc>
          <w:tcPr>
            <w:tcW w:w="697" w:type="dxa"/>
            <w:tcBorders>
              <w:left w:val="single" w:sz="8" w:space="0" w:color="000000"/>
              <w:bottom w:val="double" w:sz="6" w:space="0" w:color="000000"/>
              <w:right w:val="single" w:sz="4" w:space="0" w:color="000000"/>
            </w:tcBorders>
            <w:shd w:val="clear" w:color="auto" w:fill="auto"/>
            <w:vAlign w:val="center"/>
          </w:tcPr>
          <w:p w14:paraId="5DF17634"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OB.6.1</w:t>
            </w:r>
            <w:r>
              <w:rPr>
                <w:rFonts w:eastAsia="Times New Roman" w:cs="Calibri"/>
                <w:b/>
                <w:bCs/>
                <w:color w:val="000000"/>
                <w:sz w:val="16"/>
                <w:szCs w:val="16"/>
                <w:lang w:eastAsia="en-GB"/>
              </w:rPr>
              <w:t xml:space="preserve"> </w:t>
            </w:r>
          </w:p>
        </w:tc>
        <w:tc>
          <w:tcPr>
            <w:tcW w:w="2282" w:type="dxa"/>
            <w:tcBorders>
              <w:bottom w:val="double" w:sz="6" w:space="0" w:color="000000"/>
              <w:right w:val="single" w:sz="4" w:space="0" w:color="000000"/>
            </w:tcBorders>
            <w:shd w:val="clear" w:color="auto" w:fill="auto"/>
            <w:vAlign w:val="center"/>
          </w:tcPr>
          <w:p w14:paraId="1350A36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Aumentare la consapevolezza del rischio cyber (Cyber Security Awareness) nelle PA </w:t>
            </w:r>
          </w:p>
        </w:tc>
        <w:tc>
          <w:tcPr>
            <w:tcW w:w="1281" w:type="dxa"/>
            <w:tcBorders>
              <w:bottom w:val="double" w:sz="6" w:space="0" w:color="000000"/>
              <w:right w:val="single" w:sz="4" w:space="0" w:color="000000"/>
            </w:tcBorders>
            <w:shd w:val="clear" w:color="auto" w:fill="auto"/>
            <w:vAlign w:val="center"/>
          </w:tcPr>
          <w:p w14:paraId="1799593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R.A.6.1a </w:t>
            </w:r>
          </w:p>
        </w:tc>
        <w:tc>
          <w:tcPr>
            <w:tcW w:w="4279" w:type="dxa"/>
            <w:tcBorders>
              <w:bottom w:val="double" w:sz="6" w:space="0" w:color="000000"/>
              <w:right w:val="single" w:sz="4" w:space="0" w:color="000000"/>
            </w:tcBorders>
            <w:shd w:val="clear" w:color="auto" w:fill="auto"/>
            <w:vAlign w:val="center"/>
          </w:tcPr>
          <w:p w14:paraId="7100990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Cyber Security Awareness misurato tramite questionari di self-assessment ai RTD e ai loro uffici. </w:t>
            </w:r>
          </w:p>
        </w:tc>
        <w:tc>
          <w:tcPr>
            <w:tcW w:w="4281" w:type="dxa"/>
            <w:tcBorders>
              <w:bottom w:val="double" w:sz="6" w:space="0" w:color="000000"/>
              <w:right w:val="single" w:sz="8" w:space="0" w:color="000000"/>
            </w:tcBorders>
            <w:shd w:val="clear" w:color="auto" w:fill="auto"/>
            <w:vAlign w:val="center"/>
          </w:tcPr>
          <w:p w14:paraId="3EFB79A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Cyber Security Awareness misurato tramite questionari di self-assessment ai RTD e ai loro uffici </w:t>
            </w:r>
          </w:p>
        </w:tc>
      </w:tr>
      <w:tr w:rsidR="00C77C37" w14:paraId="74E8DC33" w14:textId="77777777">
        <w:trPr>
          <w:trHeight w:val="705"/>
        </w:trPr>
        <w:tc>
          <w:tcPr>
            <w:tcW w:w="697" w:type="dxa"/>
            <w:tcBorders>
              <w:left w:val="single" w:sz="8" w:space="0" w:color="000000"/>
              <w:bottom w:val="single" w:sz="4" w:space="0" w:color="000000"/>
              <w:right w:val="single" w:sz="4" w:space="0" w:color="000000"/>
            </w:tcBorders>
            <w:shd w:val="clear" w:color="auto" w:fill="auto"/>
            <w:vAlign w:val="center"/>
          </w:tcPr>
          <w:p w14:paraId="032A4357"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OB.6.2</w:t>
            </w:r>
            <w:r>
              <w:rPr>
                <w:rFonts w:eastAsia="Times New Roman" w:cs="Calibri"/>
                <w:b/>
                <w:bCs/>
                <w:color w:val="000000"/>
                <w:sz w:val="16"/>
                <w:szCs w:val="16"/>
                <w:lang w:eastAsia="en-GB"/>
              </w:rPr>
              <w:t xml:space="preserve"> </w:t>
            </w:r>
          </w:p>
        </w:tc>
        <w:tc>
          <w:tcPr>
            <w:tcW w:w="2282" w:type="dxa"/>
            <w:tcBorders>
              <w:bottom w:val="single" w:sz="4" w:space="0" w:color="000000"/>
              <w:right w:val="single" w:sz="4" w:space="0" w:color="000000"/>
            </w:tcBorders>
            <w:shd w:val="clear" w:color="auto" w:fill="auto"/>
            <w:vAlign w:val="center"/>
          </w:tcPr>
          <w:p w14:paraId="0765FFD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Aumentare il livello di sicurezza informatica dei </w:t>
            </w:r>
          </w:p>
        </w:tc>
        <w:tc>
          <w:tcPr>
            <w:tcW w:w="1281" w:type="dxa"/>
            <w:tcBorders>
              <w:bottom w:val="single" w:sz="4" w:space="0" w:color="000000"/>
              <w:right w:val="single" w:sz="4" w:space="0" w:color="000000"/>
            </w:tcBorders>
            <w:shd w:val="clear" w:color="auto" w:fill="auto"/>
            <w:vAlign w:val="center"/>
          </w:tcPr>
          <w:p w14:paraId="6F151E3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R.A.6.2a </w:t>
            </w:r>
          </w:p>
        </w:tc>
        <w:tc>
          <w:tcPr>
            <w:tcW w:w="4279" w:type="dxa"/>
            <w:tcBorders>
              <w:bottom w:val="single" w:sz="4" w:space="0" w:color="000000"/>
              <w:right w:val="single" w:sz="4" w:space="0" w:color="000000"/>
            </w:tcBorders>
            <w:shd w:val="clear" w:color="auto" w:fill="auto"/>
            <w:vAlign w:val="center"/>
          </w:tcPr>
          <w:p w14:paraId="18353AE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dei portali istituzionali che utilizzano il protocollo HTTPS only, misurato tramite tool di analisi specifico </w:t>
            </w:r>
          </w:p>
        </w:tc>
        <w:tc>
          <w:tcPr>
            <w:tcW w:w="4281" w:type="dxa"/>
            <w:tcBorders>
              <w:bottom w:val="single" w:sz="4" w:space="0" w:color="000000"/>
              <w:right w:val="single" w:sz="8" w:space="0" w:color="000000"/>
            </w:tcBorders>
            <w:shd w:val="clear" w:color="auto" w:fill="auto"/>
            <w:vAlign w:val="center"/>
          </w:tcPr>
          <w:p w14:paraId="4D208DB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numero dei portali istituzionali che utilizzano il protocollo HTTPS only, misurato tramite tool di analisi specifico </w:t>
            </w:r>
          </w:p>
        </w:tc>
      </w:tr>
      <w:tr w:rsidR="00C77C37" w14:paraId="26D7DE5F" w14:textId="77777777">
        <w:trPr>
          <w:trHeight w:val="675"/>
        </w:trPr>
        <w:tc>
          <w:tcPr>
            <w:tcW w:w="697" w:type="dxa"/>
            <w:tcBorders>
              <w:top w:val="single" w:sz="4" w:space="0" w:color="000000"/>
              <w:left w:val="single" w:sz="8" w:space="0" w:color="000000"/>
              <w:bottom w:val="single" w:sz="8" w:space="0" w:color="000000"/>
              <w:right w:val="single" w:sz="4" w:space="0" w:color="000000"/>
            </w:tcBorders>
            <w:shd w:val="clear" w:color="auto" w:fill="auto"/>
            <w:vAlign w:val="center"/>
          </w:tcPr>
          <w:p w14:paraId="24547801"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w:t>
            </w:r>
          </w:p>
        </w:tc>
        <w:tc>
          <w:tcPr>
            <w:tcW w:w="2282" w:type="dxa"/>
            <w:tcBorders>
              <w:top w:val="single" w:sz="4" w:space="0" w:color="000000"/>
              <w:bottom w:val="single" w:sz="8" w:space="0" w:color="000000"/>
              <w:right w:val="single" w:sz="4" w:space="0" w:color="000000"/>
            </w:tcBorders>
            <w:shd w:val="clear" w:color="auto" w:fill="auto"/>
            <w:vAlign w:val="center"/>
          </w:tcPr>
          <w:p w14:paraId="578C925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portali istituzionali della Pubblica Amministrazione </w:t>
            </w:r>
          </w:p>
        </w:tc>
        <w:tc>
          <w:tcPr>
            <w:tcW w:w="1281" w:type="dxa"/>
            <w:tcBorders>
              <w:top w:val="single" w:sz="4" w:space="0" w:color="000000"/>
              <w:bottom w:val="single" w:sz="8" w:space="0" w:color="000000"/>
              <w:right w:val="single" w:sz="4" w:space="0" w:color="000000"/>
            </w:tcBorders>
            <w:shd w:val="clear" w:color="auto" w:fill="auto"/>
            <w:vAlign w:val="center"/>
          </w:tcPr>
          <w:p w14:paraId="46D79EA6"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R.A.6.2b </w:t>
            </w:r>
          </w:p>
        </w:tc>
        <w:tc>
          <w:tcPr>
            <w:tcW w:w="4279" w:type="dxa"/>
            <w:tcBorders>
              <w:top w:val="single" w:sz="4" w:space="0" w:color="000000"/>
              <w:bottom w:val="single" w:sz="8" w:space="0" w:color="000000"/>
              <w:right w:val="single" w:sz="4" w:space="0" w:color="000000"/>
            </w:tcBorders>
            <w:shd w:val="clear" w:color="auto" w:fill="auto"/>
            <w:vAlign w:val="center"/>
          </w:tcPr>
          <w:p w14:paraId="58EE2E3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Massimizzare il numero dei Content Management System (CMS) non vulnerabili utilizzati nei portali istituzionali delle PA, misurato tramite tool di analisi specifico </w:t>
            </w:r>
          </w:p>
        </w:tc>
        <w:tc>
          <w:tcPr>
            <w:tcW w:w="4281" w:type="dxa"/>
            <w:tcBorders>
              <w:top w:val="single" w:sz="4" w:space="0" w:color="000000"/>
              <w:bottom w:val="single" w:sz="8" w:space="0" w:color="000000"/>
              <w:right w:val="single" w:sz="8" w:space="0" w:color="000000"/>
            </w:tcBorders>
            <w:shd w:val="clear" w:color="auto" w:fill="auto"/>
            <w:vAlign w:val="center"/>
          </w:tcPr>
          <w:p w14:paraId="447064CD"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Massimizzare il numero dei Content Management System (CMS) con versione aggiornata utilizzati nei portali istituzionali delle PA, misurato tramite tool di analisi specifico </w:t>
            </w:r>
          </w:p>
        </w:tc>
      </w:tr>
    </w:tbl>
    <w:p w14:paraId="427AAA71"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7AAA05AB" w14:textId="77777777">
        <w:trPr>
          <w:trHeight w:val="315"/>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bottom"/>
          </w:tcPr>
          <w:p w14:paraId="76E99946"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LE LEVE PER L'INNOVAZIONE</w:t>
            </w:r>
            <w:r>
              <w:rPr>
                <w:rFonts w:eastAsia="Times New Roman" w:cs="Calibri"/>
                <w:b/>
                <w:bCs/>
                <w:color w:val="000000"/>
                <w:sz w:val="16"/>
                <w:szCs w:val="16"/>
                <w:lang w:eastAsia="en-GB"/>
              </w:rPr>
              <w:t xml:space="preserve"> </w:t>
            </w:r>
          </w:p>
        </w:tc>
      </w:tr>
      <w:tr w:rsidR="00C77C37" w14:paraId="0623FC88"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67A8590B"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Ob. </w:t>
            </w:r>
          </w:p>
        </w:tc>
        <w:tc>
          <w:tcPr>
            <w:tcW w:w="2282" w:type="dxa"/>
            <w:tcBorders>
              <w:bottom w:val="single" w:sz="8" w:space="0" w:color="000000"/>
              <w:right w:val="single" w:sz="4" w:space="0" w:color="000000"/>
            </w:tcBorders>
            <w:shd w:val="clear" w:color="000000" w:fill="757171"/>
            <w:vAlign w:val="bottom"/>
          </w:tcPr>
          <w:p w14:paraId="406CF8CD"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2F91A957"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021A326B"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420CF51C"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4346D7D6" w14:textId="77777777">
        <w:trPr>
          <w:trHeight w:val="465"/>
        </w:trPr>
        <w:tc>
          <w:tcPr>
            <w:tcW w:w="697" w:type="dxa"/>
            <w:vMerge w:val="restart"/>
            <w:tcBorders>
              <w:left w:val="single" w:sz="8" w:space="0" w:color="000000"/>
              <w:bottom w:val="double" w:sz="6" w:space="0" w:color="000000"/>
              <w:right w:val="single" w:sz="4" w:space="0" w:color="000000"/>
            </w:tcBorders>
            <w:shd w:val="clear" w:color="auto" w:fill="auto"/>
            <w:vAlign w:val="center"/>
          </w:tcPr>
          <w:p w14:paraId="2D9BB138"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OB.7.1 </w:t>
            </w:r>
          </w:p>
        </w:tc>
        <w:tc>
          <w:tcPr>
            <w:tcW w:w="2282" w:type="dxa"/>
            <w:vMerge w:val="restart"/>
            <w:tcBorders>
              <w:left w:val="single" w:sz="4" w:space="0" w:color="000000"/>
              <w:bottom w:val="double" w:sz="6" w:space="0" w:color="000000"/>
              <w:right w:val="single" w:sz="4" w:space="0" w:color="000000"/>
            </w:tcBorders>
            <w:shd w:val="clear" w:color="auto" w:fill="auto"/>
            <w:vAlign w:val="center"/>
          </w:tcPr>
          <w:p w14:paraId="48EA7395"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Rafforzare le leve per l’innovazione delle PA e dei territori </w:t>
            </w:r>
          </w:p>
        </w:tc>
        <w:tc>
          <w:tcPr>
            <w:tcW w:w="1281" w:type="dxa"/>
            <w:tcBorders>
              <w:bottom w:val="single" w:sz="4" w:space="0" w:color="000000"/>
              <w:right w:val="single" w:sz="4" w:space="0" w:color="000000"/>
            </w:tcBorders>
            <w:shd w:val="clear" w:color="auto" w:fill="auto"/>
            <w:vAlign w:val="center"/>
          </w:tcPr>
          <w:p w14:paraId="6560E47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R.A.7.1a </w:t>
            </w:r>
          </w:p>
        </w:tc>
        <w:tc>
          <w:tcPr>
            <w:tcW w:w="4279" w:type="dxa"/>
            <w:tcBorders>
              <w:bottom w:val="single" w:sz="4" w:space="0" w:color="000000"/>
              <w:right w:val="single" w:sz="4" w:space="0" w:color="000000"/>
            </w:tcBorders>
            <w:shd w:val="clear" w:color="auto" w:fill="auto"/>
            <w:vAlign w:val="center"/>
          </w:tcPr>
          <w:p w14:paraId="512A3C37"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 percentuale di PMI e start up che partecipano agli appalti di innovazione  </w:t>
            </w:r>
          </w:p>
        </w:tc>
        <w:tc>
          <w:tcPr>
            <w:tcW w:w="4281" w:type="dxa"/>
            <w:tcBorders>
              <w:bottom w:val="single" w:sz="4" w:space="0" w:color="000000"/>
              <w:right w:val="single" w:sz="8" w:space="0" w:color="000000"/>
            </w:tcBorders>
            <w:shd w:val="clear" w:color="auto" w:fill="auto"/>
            <w:vAlign w:val="center"/>
          </w:tcPr>
          <w:p w14:paraId="5C54FBA5"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 percentuale di PMI e start up che partecipano agli appalti di innovazione  </w:t>
            </w:r>
          </w:p>
        </w:tc>
      </w:tr>
      <w:tr w:rsidR="00C77C37" w14:paraId="67AD792D" w14:textId="77777777">
        <w:trPr>
          <w:trHeight w:val="675"/>
        </w:trPr>
        <w:tc>
          <w:tcPr>
            <w:tcW w:w="697" w:type="dxa"/>
            <w:vMerge/>
            <w:tcBorders>
              <w:left w:val="single" w:sz="8" w:space="0" w:color="000000"/>
              <w:bottom w:val="double" w:sz="6" w:space="0" w:color="000000"/>
              <w:right w:val="single" w:sz="4" w:space="0" w:color="000000"/>
            </w:tcBorders>
            <w:vAlign w:val="center"/>
          </w:tcPr>
          <w:p w14:paraId="0FD2FFFE"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2CB35F2F"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4" w:space="0" w:color="000000"/>
              <w:right w:val="single" w:sz="4" w:space="0" w:color="000000"/>
            </w:tcBorders>
            <w:shd w:val="clear" w:color="auto" w:fill="auto"/>
            <w:vAlign w:val="center"/>
          </w:tcPr>
          <w:p w14:paraId="7857527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R.A.7.1b </w:t>
            </w:r>
          </w:p>
        </w:tc>
        <w:tc>
          <w:tcPr>
            <w:tcW w:w="4279" w:type="dxa"/>
            <w:tcBorders>
              <w:bottom w:val="single" w:sz="4" w:space="0" w:color="000000"/>
              <w:right w:val="single" w:sz="4" w:space="0" w:color="000000"/>
            </w:tcBorders>
            <w:shd w:val="clear" w:color="auto" w:fill="auto"/>
            <w:vAlign w:val="center"/>
          </w:tcPr>
          <w:p w14:paraId="490432A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trasformazione digitale mediante l’utilizzo dei servizi previsti dalle Gare strategiche </w:t>
            </w:r>
          </w:p>
        </w:tc>
        <w:tc>
          <w:tcPr>
            <w:tcW w:w="4281" w:type="dxa"/>
            <w:tcBorders>
              <w:bottom w:val="single" w:sz="4" w:space="0" w:color="000000"/>
              <w:right w:val="single" w:sz="8" w:space="0" w:color="000000"/>
            </w:tcBorders>
            <w:shd w:val="clear" w:color="auto" w:fill="auto"/>
            <w:vAlign w:val="center"/>
          </w:tcPr>
          <w:p w14:paraId="411898D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 livello di trasformazione digitale mediante l’utilizzo dei servizi previsti dalle Gare strategiche </w:t>
            </w:r>
          </w:p>
        </w:tc>
      </w:tr>
      <w:tr w:rsidR="00C77C37" w14:paraId="477E91F7" w14:textId="77777777">
        <w:trPr>
          <w:trHeight w:val="690"/>
        </w:trPr>
        <w:tc>
          <w:tcPr>
            <w:tcW w:w="697" w:type="dxa"/>
            <w:vMerge/>
            <w:tcBorders>
              <w:left w:val="single" w:sz="8" w:space="0" w:color="000000"/>
              <w:bottom w:val="double" w:sz="6" w:space="0" w:color="000000"/>
              <w:right w:val="single" w:sz="4" w:space="0" w:color="000000"/>
            </w:tcBorders>
            <w:vAlign w:val="center"/>
          </w:tcPr>
          <w:p w14:paraId="050EAF35"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double" w:sz="6" w:space="0" w:color="000000"/>
              <w:right w:val="single" w:sz="4" w:space="0" w:color="000000"/>
            </w:tcBorders>
            <w:vAlign w:val="center"/>
          </w:tcPr>
          <w:p w14:paraId="1F644166"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double" w:sz="6" w:space="0" w:color="000000"/>
              <w:right w:val="single" w:sz="4" w:space="0" w:color="000000"/>
            </w:tcBorders>
            <w:shd w:val="clear" w:color="auto" w:fill="auto"/>
            <w:vAlign w:val="center"/>
          </w:tcPr>
          <w:p w14:paraId="642DA1EC"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c>
          <w:tcPr>
            <w:tcW w:w="4279" w:type="dxa"/>
            <w:tcBorders>
              <w:bottom w:val="double" w:sz="6" w:space="0" w:color="000000"/>
              <w:right w:val="single" w:sz="4" w:space="0" w:color="000000"/>
            </w:tcBorders>
            <w:shd w:val="clear" w:color="auto" w:fill="auto"/>
            <w:vAlign w:val="center"/>
          </w:tcPr>
          <w:p w14:paraId="45A9B998"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 </w:t>
            </w:r>
          </w:p>
        </w:tc>
        <w:tc>
          <w:tcPr>
            <w:tcW w:w="4281" w:type="dxa"/>
            <w:tcBorders>
              <w:bottom w:val="double" w:sz="6" w:space="0" w:color="000000"/>
              <w:right w:val="single" w:sz="8" w:space="0" w:color="000000"/>
            </w:tcBorders>
            <w:shd w:val="clear" w:color="auto" w:fill="auto"/>
            <w:vAlign w:val="center"/>
          </w:tcPr>
          <w:p w14:paraId="1B41D46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della percentuale di soggetti aggregatori che hanno disponibilità di sistemi di e-procurement conformi alle regole tecniche per la digitalizzazione degli appalti </w:t>
            </w:r>
          </w:p>
        </w:tc>
      </w:tr>
      <w:tr w:rsidR="00C77C37" w14:paraId="628C8154" w14:textId="77777777">
        <w:trPr>
          <w:trHeight w:val="1140"/>
        </w:trPr>
        <w:tc>
          <w:tcPr>
            <w:tcW w:w="697" w:type="dxa"/>
            <w:vMerge w:val="restart"/>
            <w:tcBorders>
              <w:left w:val="single" w:sz="8" w:space="0" w:color="000000"/>
              <w:bottom w:val="single" w:sz="8" w:space="0" w:color="000000"/>
              <w:right w:val="single" w:sz="4" w:space="0" w:color="000000"/>
            </w:tcBorders>
            <w:shd w:val="clear" w:color="auto" w:fill="auto"/>
            <w:vAlign w:val="center"/>
          </w:tcPr>
          <w:p w14:paraId="5DB2980E"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OB.7.2 </w:t>
            </w:r>
          </w:p>
        </w:tc>
        <w:tc>
          <w:tcPr>
            <w:tcW w:w="2282" w:type="dxa"/>
            <w:vMerge w:val="restart"/>
            <w:tcBorders>
              <w:left w:val="single" w:sz="4" w:space="0" w:color="000000"/>
              <w:bottom w:val="single" w:sz="8" w:space="0" w:color="000000"/>
              <w:right w:val="single" w:sz="4" w:space="0" w:color="000000"/>
            </w:tcBorders>
            <w:shd w:val="clear" w:color="auto" w:fill="auto"/>
            <w:vAlign w:val="center"/>
          </w:tcPr>
          <w:p w14:paraId="27803D6F"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Rafforzare le competenze digitali per la PA e per il Paese e favorire l’inclusione digitale </w:t>
            </w:r>
          </w:p>
        </w:tc>
        <w:tc>
          <w:tcPr>
            <w:tcW w:w="1281" w:type="dxa"/>
            <w:tcBorders>
              <w:bottom w:val="single" w:sz="4" w:space="0" w:color="000000"/>
              <w:right w:val="single" w:sz="4" w:space="0" w:color="000000"/>
            </w:tcBorders>
            <w:shd w:val="clear" w:color="auto" w:fill="auto"/>
            <w:vAlign w:val="center"/>
          </w:tcPr>
          <w:p w14:paraId="7DC197D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R.A.7.2a </w:t>
            </w:r>
          </w:p>
        </w:tc>
        <w:tc>
          <w:tcPr>
            <w:tcW w:w="4279" w:type="dxa"/>
            <w:tcBorders>
              <w:bottom w:val="single" w:sz="4" w:space="0" w:color="000000"/>
              <w:right w:val="single" w:sz="4" w:space="0" w:color="000000"/>
            </w:tcBorders>
            <w:shd w:val="clear" w:color="auto" w:fill="auto"/>
            <w:vAlign w:val="center"/>
          </w:tcPr>
          <w:p w14:paraId="06EA64F4"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delle competenze digitali nella PA attraverso la realizzazione e l’adozione di uno strumento per la rilevazione dei fabbisogni di formazione in ambito digitale e la promozione di interventi formativi mirati, a cura del Dipartimento della Funzione Pubblica  </w:t>
            </w:r>
          </w:p>
        </w:tc>
        <w:tc>
          <w:tcPr>
            <w:tcW w:w="4281" w:type="dxa"/>
            <w:tcBorders>
              <w:bottom w:val="single" w:sz="4" w:space="0" w:color="000000"/>
              <w:right w:val="single" w:sz="8" w:space="0" w:color="000000"/>
            </w:tcBorders>
            <w:shd w:val="clear" w:color="auto" w:fill="auto"/>
            <w:vAlign w:val="center"/>
          </w:tcPr>
          <w:p w14:paraId="692F9C4F"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delle competenze digitali nella PA, attraverso la promozione dell’accesso da parte dei dipendenti pubblici a percorsi formativi sulle competenze digitali in e-learning </w:t>
            </w:r>
          </w:p>
        </w:tc>
      </w:tr>
      <w:tr w:rsidR="00C77C37" w14:paraId="733C7D4D" w14:textId="77777777">
        <w:trPr>
          <w:trHeight w:val="1125"/>
        </w:trPr>
        <w:tc>
          <w:tcPr>
            <w:tcW w:w="697" w:type="dxa"/>
            <w:vMerge/>
            <w:tcBorders>
              <w:top w:val="single" w:sz="4" w:space="0" w:color="000000"/>
              <w:left w:val="single" w:sz="8" w:space="0" w:color="000000"/>
              <w:bottom w:val="single" w:sz="8" w:space="0" w:color="000000"/>
              <w:right w:val="single" w:sz="4" w:space="0" w:color="000000"/>
            </w:tcBorders>
            <w:vAlign w:val="center"/>
          </w:tcPr>
          <w:p w14:paraId="434A4C4E"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top w:val="single" w:sz="4" w:space="0" w:color="000000"/>
              <w:left w:val="single" w:sz="4" w:space="0" w:color="000000"/>
              <w:bottom w:val="single" w:sz="8" w:space="0" w:color="000000"/>
              <w:right w:val="single" w:sz="4" w:space="0" w:color="000000"/>
            </w:tcBorders>
            <w:vAlign w:val="center"/>
          </w:tcPr>
          <w:p w14:paraId="145E2F8B"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top w:val="single" w:sz="4" w:space="0" w:color="000000"/>
              <w:bottom w:val="single" w:sz="4" w:space="0" w:color="000000"/>
              <w:right w:val="single" w:sz="4" w:space="0" w:color="000000"/>
            </w:tcBorders>
            <w:shd w:val="clear" w:color="auto" w:fill="auto"/>
            <w:vAlign w:val="center"/>
          </w:tcPr>
          <w:p w14:paraId="7C52ADD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R.A.7.2b </w:t>
            </w:r>
          </w:p>
        </w:tc>
        <w:tc>
          <w:tcPr>
            <w:tcW w:w="4279" w:type="dxa"/>
            <w:tcBorders>
              <w:top w:val="single" w:sz="4" w:space="0" w:color="000000"/>
              <w:bottom w:val="single" w:sz="4" w:space="0" w:color="000000"/>
              <w:right w:val="single" w:sz="4" w:space="0" w:color="000000"/>
            </w:tcBorders>
            <w:shd w:val="clear" w:color="auto" w:fill="auto"/>
            <w:vAlign w:val="center"/>
          </w:tcPr>
          <w:p w14:paraId="0AE4738B"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delle competenze digitali dei cittadini sulla base della definizione e realizzazione di modelli, strumenti e interventi in ambito e dell’uso dei servizi pubblici digitali  </w:t>
            </w:r>
          </w:p>
        </w:tc>
        <w:tc>
          <w:tcPr>
            <w:tcW w:w="4281" w:type="dxa"/>
            <w:tcBorders>
              <w:top w:val="single" w:sz="4" w:space="0" w:color="000000"/>
              <w:bottom w:val="single" w:sz="4" w:space="0" w:color="000000"/>
              <w:right w:val="single" w:sz="8" w:space="0" w:color="000000"/>
            </w:tcBorders>
            <w:shd w:val="clear" w:color="auto" w:fill="auto"/>
            <w:vAlign w:val="center"/>
          </w:tcPr>
          <w:p w14:paraId="79314BF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Incremento delle competenze digitali dei cittadini sulla base della definizione e realizzazione di modelli, strumenti e interventi in ambito e dell’uso dei servizi pubblici digitali </w:t>
            </w:r>
            <w:r>
              <w:rPr>
                <w:rFonts w:eastAsia="Times New Roman" w:cs="Calibri"/>
                <w:i/>
                <w:iCs/>
                <w:color w:val="000000"/>
                <w:sz w:val="16"/>
                <w:szCs w:val="16"/>
                <w:lang w:eastAsia="en-GB"/>
              </w:rPr>
              <w:t xml:space="preserve">(Istat/Eurostat realizzano con cadenza biennale la rilevazione </w:t>
            </w:r>
            <w:r>
              <w:rPr>
                <w:rFonts w:eastAsia="Times New Roman" w:cs="Calibri"/>
                <w:i/>
                <w:iCs/>
                <w:color w:val="000000"/>
                <w:sz w:val="16"/>
                <w:szCs w:val="16"/>
                <w:lang w:eastAsia="en-GB"/>
              </w:rPr>
              <w:lastRenderedPageBreak/>
              <w:t>su questo indicatore)</w:t>
            </w:r>
            <w:r>
              <w:rPr>
                <w:rFonts w:eastAsia="Times New Roman" w:cs="Calibri"/>
                <w:color w:val="000000"/>
                <w:sz w:val="16"/>
                <w:szCs w:val="16"/>
                <w:lang w:eastAsia="en-GB"/>
              </w:rPr>
              <w:t xml:space="preserve"> </w:t>
            </w:r>
          </w:p>
        </w:tc>
      </w:tr>
      <w:tr w:rsidR="00C77C37" w14:paraId="2E6A710E" w14:textId="77777777">
        <w:trPr>
          <w:trHeight w:val="465"/>
        </w:trPr>
        <w:tc>
          <w:tcPr>
            <w:tcW w:w="697" w:type="dxa"/>
            <w:vMerge/>
            <w:tcBorders>
              <w:left w:val="single" w:sz="8" w:space="0" w:color="000000"/>
              <w:bottom w:val="single" w:sz="8" w:space="0" w:color="000000"/>
              <w:right w:val="single" w:sz="4" w:space="0" w:color="000000"/>
            </w:tcBorders>
            <w:vAlign w:val="center"/>
          </w:tcPr>
          <w:p w14:paraId="729FD7E6"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2282" w:type="dxa"/>
            <w:vMerge/>
            <w:tcBorders>
              <w:left w:val="single" w:sz="4" w:space="0" w:color="000000"/>
              <w:bottom w:val="single" w:sz="8" w:space="0" w:color="000000"/>
              <w:right w:val="single" w:sz="4" w:space="0" w:color="000000"/>
            </w:tcBorders>
            <w:vAlign w:val="center"/>
          </w:tcPr>
          <w:p w14:paraId="792A862A" w14:textId="77777777" w:rsidR="00C77C37" w:rsidRDefault="00C77C37">
            <w:pPr>
              <w:widowControl w:val="0"/>
              <w:spacing w:before="0"/>
              <w:ind w:left="0" w:right="0"/>
              <w:jc w:val="left"/>
              <w:rPr>
                <w:rFonts w:ascii="Calibri" w:eastAsia="Times New Roman" w:hAnsi="Calibri" w:cs="Calibri"/>
                <w:color w:val="000000"/>
                <w:sz w:val="16"/>
                <w:szCs w:val="16"/>
                <w:lang w:eastAsia="en-GB"/>
              </w:rPr>
            </w:pPr>
          </w:p>
        </w:tc>
        <w:tc>
          <w:tcPr>
            <w:tcW w:w="1281" w:type="dxa"/>
            <w:tcBorders>
              <w:bottom w:val="single" w:sz="8" w:space="0" w:color="000000"/>
              <w:right w:val="single" w:sz="4" w:space="0" w:color="000000"/>
            </w:tcBorders>
            <w:shd w:val="clear" w:color="auto" w:fill="auto"/>
            <w:vAlign w:val="center"/>
          </w:tcPr>
          <w:p w14:paraId="6F6A03F3"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R.A.7.2c </w:t>
            </w:r>
          </w:p>
        </w:tc>
        <w:tc>
          <w:tcPr>
            <w:tcW w:w="4279" w:type="dxa"/>
            <w:tcBorders>
              <w:bottom w:val="single" w:sz="8" w:space="0" w:color="000000"/>
              <w:right w:val="single" w:sz="4" w:space="0" w:color="000000"/>
            </w:tcBorders>
            <w:shd w:val="clear" w:color="auto" w:fill="auto"/>
            <w:vAlign w:val="center"/>
          </w:tcPr>
          <w:p w14:paraId="5126638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delle competenze digitali nella PA per l’attuazione degli obiettivi del Piano triennale   </w:t>
            </w:r>
          </w:p>
        </w:tc>
        <w:tc>
          <w:tcPr>
            <w:tcW w:w="4281" w:type="dxa"/>
            <w:tcBorders>
              <w:bottom w:val="single" w:sz="8" w:space="0" w:color="000000"/>
              <w:right w:val="single" w:sz="8" w:space="0" w:color="000000"/>
            </w:tcBorders>
            <w:shd w:val="clear" w:color="auto" w:fill="auto"/>
            <w:vAlign w:val="center"/>
          </w:tcPr>
          <w:p w14:paraId="48C4512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Diffusione delle competenze digitali nella PA per l’attuazione degli obiettivi del Piano triennale   </w:t>
            </w:r>
          </w:p>
        </w:tc>
      </w:tr>
    </w:tbl>
    <w:p w14:paraId="447FF3C9" w14:textId="77777777" w:rsidR="00C77C37" w:rsidRDefault="00204E95">
      <w:pPr>
        <w:spacing w:before="0"/>
      </w:pPr>
      <w:r>
        <w:br w:type="page"/>
      </w:r>
    </w:p>
    <w:tbl>
      <w:tblPr>
        <w:tblW w:w="12820" w:type="dxa"/>
        <w:tblLayout w:type="fixed"/>
        <w:tblLook w:val="04A0" w:firstRow="1" w:lastRow="0" w:firstColumn="1" w:lastColumn="0" w:noHBand="0" w:noVBand="1"/>
      </w:tblPr>
      <w:tblGrid>
        <w:gridCol w:w="697"/>
        <w:gridCol w:w="2282"/>
        <w:gridCol w:w="1281"/>
        <w:gridCol w:w="4279"/>
        <w:gridCol w:w="4281"/>
      </w:tblGrid>
      <w:tr w:rsidR="00C77C37" w14:paraId="688A74AB" w14:textId="77777777">
        <w:trPr>
          <w:trHeight w:val="330"/>
        </w:trPr>
        <w:tc>
          <w:tcPr>
            <w:tcW w:w="12820" w:type="dxa"/>
            <w:gridSpan w:val="5"/>
            <w:tcBorders>
              <w:top w:val="single" w:sz="8" w:space="0" w:color="000000"/>
              <w:left w:val="single" w:sz="8" w:space="0" w:color="000000"/>
              <w:bottom w:val="single" w:sz="8" w:space="0" w:color="000000"/>
              <w:right w:val="single" w:sz="8" w:space="0" w:color="000000"/>
            </w:tcBorders>
            <w:shd w:val="clear" w:color="000000" w:fill="757171"/>
            <w:vAlign w:val="center"/>
          </w:tcPr>
          <w:p w14:paraId="7BB84DB8" w14:textId="77777777" w:rsidR="00C77C37" w:rsidRDefault="00204E95">
            <w:pPr>
              <w:pageBreakBefore/>
              <w:widowControl w:val="0"/>
              <w:spacing w:before="0"/>
              <w:ind w:left="0" w:right="0"/>
              <w:jc w:val="center"/>
              <w:rPr>
                <w:rFonts w:ascii="Calibri" w:eastAsia="Times New Roman" w:hAnsi="Calibri" w:cs="Calibri"/>
                <w:color w:val="FFFFFF"/>
                <w:lang w:eastAsia="en-GB"/>
              </w:rPr>
            </w:pPr>
            <w:r>
              <w:rPr>
                <w:rFonts w:eastAsia="Times New Roman" w:cs="Calibri"/>
                <w:color w:val="FFFFFF"/>
                <w:lang w:eastAsia="en-GB"/>
              </w:rPr>
              <w:lastRenderedPageBreak/>
              <w:t>GOVERNARE LA TRANSIZIONE DIGITALE</w:t>
            </w:r>
          </w:p>
        </w:tc>
      </w:tr>
      <w:tr w:rsidR="00C77C37" w14:paraId="0C7C8823" w14:textId="77777777">
        <w:trPr>
          <w:trHeight w:val="315"/>
        </w:trPr>
        <w:tc>
          <w:tcPr>
            <w:tcW w:w="697" w:type="dxa"/>
            <w:tcBorders>
              <w:left w:val="single" w:sz="8" w:space="0" w:color="000000"/>
              <w:bottom w:val="single" w:sz="8" w:space="0" w:color="000000"/>
              <w:right w:val="single" w:sz="4" w:space="0" w:color="000000"/>
            </w:tcBorders>
            <w:shd w:val="clear" w:color="000000" w:fill="757171"/>
            <w:vAlign w:val="center"/>
          </w:tcPr>
          <w:p w14:paraId="22AAA275"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Cod. Ob. </w:t>
            </w:r>
          </w:p>
        </w:tc>
        <w:tc>
          <w:tcPr>
            <w:tcW w:w="2282" w:type="dxa"/>
            <w:tcBorders>
              <w:bottom w:val="single" w:sz="8" w:space="0" w:color="000000"/>
              <w:right w:val="single" w:sz="4" w:space="0" w:color="000000"/>
            </w:tcBorders>
            <w:shd w:val="clear" w:color="000000" w:fill="757171"/>
            <w:vAlign w:val="bottom"/>
          </w:tcPr>
          <w:p w14:paraId="07273049"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Obiettivo</w:t>
            </w:r>
          </w:p>
        </w:tc>
        <w:tc>
          <w:tcPr>
            <w:tcW w:w="1281" w:type="dxa"/>
            <w:tcBorders>
              <w:bottom w:val="single" w:sz="8" w:space="0" w:color="000000"/>
              <w:right w:val="single" w:sz="4" w:space="0" w:color="000000"/>
            </w:tcBorders>
            <w:shd w:val="clear" w:color="000000" w:fill="757171"/>
            <w:vAlign w:val="bottom"/>
          </w:tcPr>
          <w:p w14:paraId="05740277"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Cod. RA</w:t>
            </w:r>
          </w:p>
        </w:tc>
        <w:tc>
          <w:tcPr>
            <w:tcW w:w="4279" w:type="dxa"/>
            <w:tcBorders>
              <w:bottom w:val="single" w:sz="8" w:space="0" w:color="000000"/>
              <w:right w:val="single" w:sz="4" w:space="0" w:color="000000"/>
            </w:tcBorders>
            <w:shd w:val="clear" w:color="000000" w:fill="757171"/>
            <w:vAlign w:val="bottom"/>
          </w:tcPr>
          <w:p w14:paraId="4E8F4D92"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PT 2021-2023 </w:t>
            </w:r>
          </w:p>
        </w:tc>
        <w:tc>
          <w:tcPr>
            <w:tcW w:w="4281" w:type="dxa"/>
            <w:tcBorders>
              <w:bottom w:val="single" w:sz="8" w:space="0" w:color="000000"/>
              <w:right w:val="single" w:sz="8" w:space="0" w:color="000000"/>
            </w:tcBorders>
            <w:shd w:val="clear" w:color="000000" w:fill="757171"/>
            <w:vAlign w:val="bottom"/>
          </w:tcPr>
          <w:p w14:paraId="6A9FB8AC" w14:textId="77777777" w:rsidR="00C77C37" w:rsidRDefault="00204E95">
            <w:pPr>
              <w:widowControl w:val="0"/>
              <w:spacing w:before="0"/>
              <w:ind w:left="0" w:right="0"/>
              <w:jc w:val="center"/>
              <w:rPr>
                <w:rFonts w:ascii="Calibri" w:eastAsia="Times New Roman" w:hAnsi="Calibri" w:cs="Calibri"/>
                <w:color w:val="FFFFFF"/>
                <w:sz w:val="16"/>
                <w:szCs w:val="16"/>
                <w:lang w:eastAsia="en-GB"/>
              </w:rPr>
            </w:pPr>
            <w:r>
              <w:rPr>
                <w:rFonts w:eastAsia="Times New Roman" w:cs="Calibri"/>
                <w:color w:val="FFFFFF"/>
                <w:sz w:val="16"/>
                <w:szCs w:val="16"/>
                <w:lang w:eastAsia="en-GB"/>
              </w:rPr>
              <w:t xml:space="preserve">Risultato Atteso 2022-2024 </w:t>
            </w:r>
          </w:p>
        </w:tc>
      </w:tr>
      <w:tr w:rsidR="00C77C37" w14:paraId="1EF798F2" w14:textId="77777777">
        <w:trPr>
          <w:trHeight w:val="690"/>
        </w:trPr>
        <w:tc>
          <w:tcPr>
            <w:tcW w:w="697" w:type="dxa"/>
            <w:tcBorders>
              <w:left w:val="single" w:sz="8" w:space="0" w:color="000000"/>
              <w:bottom w:val="single" w:sz="8" w:space="0" w:color="000000"/>
              <w:right w:val="single" w:sz="8" w:space="0" w:color="000000"/>
            </w:tcBorders>
            <w:shd w:val="clear" w:color="auto" w:fill="auto"/>
            <w:vAlign w:val="center"/>
          </w:tcPr>
          <w:p w14:paraId="207F5E8A" w14:textId="77777777" w:rsidR="00C77C37" w:rsidRDefault="00204E95">
            <w:pPr>
              <w:widowControl w:val="0"/>
              <w:spacing w:before="0"/>
              <w:ind w:left="0" w:right="0"/>
              <w:jc w:val="center"/>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OB.8.1 </w:t>
            </w:r>
          </w:p>
        </w:tc>
        <w:tc>
          <w:tcPr>
            <w:tcW w:w="2282" w:type="dxa"/>
            <w:tcBorders>
              <w:bottom w:val="single" w:sz="8" w:space="0" w:color="000000"/>
              <w:right w:val="single" w:sz="8" w:space="0" w:color="000000"/>
            </w:tcBorders>
            <w:shd w:val="clear" w:color="000000" w:fill="DCDADA"/>
            <w:vAlign w:val="center"/>
          </w:tcPr>
          <w:p w14:paraId="515A93F9"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Migliorare i processi di trasformazione digitale della PA </w:t>
            </w:r>
          </w:p>
        </w:tc>
        <w:tc>
          <w:tcPr>
            <w:tcW w:w="1281" w:type="dxa"/>
            <w:tcBorders>
              <w:bottom w:val="single" w:sz="8" w:space="0" w:color="000000"/>
              <w:right w:val="single" w:sz="8" w:space="0" w:color="000000"/>
            </w:tcBorders>
            <w:shd w:val="clear" w:color="000000" w:fill="DCDADA"/>
            <w:vAlign w:val="center"/>
          </w:tcPr>
          <w:p w14:paraId="1AEB8802"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R.A.8.1b </w:t>
            </w:r>
          </w:p>
        </w:tc>
        <w:tc>
          <w:tcPr>
            <w:tcW w:w="4279" w:type="dxa"/>
            <w:tcBorders>
              <w:bottom w:val="single" w:sz="8" w:space="0" w:color="000000"/>
              <w:right w:val="single" w:sz="8" w:space="0" w:color="000000"/>
            </w:tcBorders>
            <w:shd w:val="clear" w:color="000000" w:fill="DCDADA"/>
            <w:vAlign w:val="center"/>
          </w:tcPr>
          <w:p w14:paraId="58CD7251"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Promozione e diffusione di modalità e modelli di consolidamento del ruolo dei RTD, anche in forma aggregata presso la PAL </w:t>
            </w:r>
          </w:p>
        </w:tc>
        <w:tc>
          <w:tcPr>
            <w:tcW w:w="4281" w:type="dxa"/>
            <w:tcBorders>
              <w:bottom w:val="single" w:sz="8" w:space="0" w:color="000000"/>
              <w:right w:val="single" w:sz="8" w:space="0" w:color="000000"/>
            </w:tcBorders>
            <w:shd w:val="clear" w:color="auto" w:fill="auto"/>
            <w:vAlign w:val="center"/>
          </w:tcPr>
          <w:p w14:paraId="5CA7731A" w14:textId="77777777" w:rsidR="00C77C37" w:rsidRDefault="00204E95">
            <w:pPr>
              <w:widowControl w:val="0"/>
              <w:spacing w:before="0"/>
              <w:ind w:left="0" w:right="0"/>
              <w:jc w:val="left"/>
              <w:rPr>
                <w:rFonts w:ascii="Calibri" w:eastAsia="Times New Roman" w:hAnsi="Calibri" w:cs="Calibri"/>
                <w:color w:val="000000"/>
                <w:sz w:val="16"/>
                <w:szCs w:val="16"/>
                <w:lang w:eastAsia="en-GB"/>
              </w:rPr>
            </w:pPr>
            <w:r>
              <w:rPr>
                <w:rFonts w:eastAsia="Times New Roman" w:cs="Calibri"/>
                <w:color w:val="000000"/>
                <w:sz w:val="16"/>
                <w:szCs w:val="16"/>
                <w:lang w:eastAsia="en-GB"/>
              </w:rPr>
              <w:t xml:space="preserve">Aumento delle PA con RTD nominato e promozione e diffusione di modalità e modelli di consolidamento del ruolo dei RTD, anche in forma aggregata presso la PAL </w:t>
            </w:r>
          </w:p>
        </w:tc>
      </w:tr>
    </w:tbl>
    <w:p w14:paraId="1BB32FFE" w14:textId="77777777" w:rsidR="00C77C37" w:rsidRDefault="00C77C37">
      <w:pPr>
        <w:sectPr w:rsidR="00C77C37" w:rsidSect="00DD61E3">
          <w:headerReference w:type="default" r:id="rId36"/>
          <w:footerReference w:type="default" r:id="rId37"/>
          <w:pgSz w:w="16838" w:h="11906" w:orient="landscape"/>
          <w:pgMar w:top="1440" w:right="1440" w:bottom="1440" w:left="1440" w:header="720" w:footer="539" w:gutter="0"/>
          <w:cols w:space="720"/>
          <w:formProt w:val="0"/>
          <w:docGrid w:linePitch="360" w:charSpace="4096"/>
        </w:sectPr>
      </w:pPr>
    </w:p>
    <w:p w14:paraId="4444DFF7" w14:textId="1649EC85" w:rsidR="00C77C37" w:rsidRDefault="00204E95">
      <w:pPr>
        <w:pStyle w:val="Titolo2"/>
      </w:pPr>
      <w:bookmarkStart w:id="134" w:name="_Toc157008370"/>
      <w:r>
        <w:lastRenderedPageBreak/>
        <w:t xml:space="preserve">Allegato 3: </w:t>
      </w:r>
      <w:r w:rsidR="001E0390">
        <w:tab/>
      </w:r>
      <w:r>
        <w:t>Linee di azione di interesse per l’amministrazione</w:t>
      </w:r>
      <w:bookmarkEnd w:id="134"/>
    </w:p>
    <w:p w14:paraId="2150E584" w14:textId="77777777" w:rsidR="00C77C37" w:rsidRDefault="00204E95">
      <w:pPr>
        <w:pStyle w:val="Titolo3"/>
      </w:pPr>
      <w:bookmarkStart w:id="135" w:name="_Toc157008371"/>
      <w:r>
        <w:t>Struttura schede Linee di Azione</w:t>
      </w:r>
      <w:bookmarkEnd w:id="135"/>
      <w:r>
        <w:t xml:space="preserve"> </w:t>
      </w:r>
    </w:p>
    <w:p w14:paraId="3781CA2D" w14:textId="77777777" w:rsidR="00C77C37" w:rsidRDefault="00204E95">
      <w:pPr>
        <w:spacing w:before="0"/>
      </w:pPr>
      <w:r>
        <w:t xml:space="preserve">Con riferimento agli obiettivi </w:t>
      </w:r>
      <w:r>
        <w:rPr>
          <w:b/>
          <w:bCs/>
          <w:color w:val="5983B0"/>
        </w:rPr>
        <w:t>generali</w:t>
      </w:r>
      <w:r>
        <w:t xml:space="preserve"> del Piano Nazionale per la Digitalizzazione ed a fronte delle </w:t>
      </w:r>
      <w:r>
        <w:rPr>
          <w:b/>
          <w:bCs/>
        </w:rPr>
        <w:t xml:space="preserve">Linee di Azione (LA) </w:t>
      </w:r>
      <w:r>
        <w:t>definite per le Amministrazioni per ogni componente del piano:</w:t>
      </w:r>
    </w:p>
    <w:p w14:paraId="0935F64B" w14:textId="77777777" w:rsidR="00C77C37" w:rsidRDefault="00204E95">
      <w:pPr>
        <w:pStyle w:val="Paragrafoelenco"/>
        <w:numPr>
          <w:ilvl w:val="0"/>
          <w:numId w:val="25"/>
        </w:numPr>
      </w:pPr>
      <w:r>
        <w:t>Servizi;</w:t>
      </w:r>
    </w:p>
    <w:p w14:paraId="76365BD5" w14:textId="77777777" w:rsidR="00C77C37" w:rsidRDefault="00204E95">
      <w:pPr>
        <w:pStyle w:val="Paragrafoelenco"/>
        <w:numPr>
          <w:ilvl w:val="0"/>
          <w:numId w:val="25"/>
        </w:numPr>
      </w:pPr>
      <w:r>
        <w:t>Dati;</w:t>
      </w:r>
    </w:p>
    <w:p w14:paraId="1E6DEA40" w14:textId="77777777" w:rsidR="00C77C37" w:rsidRDefault="00204E95">
      <w:pPr>
        <w:pStyle w:val="Paragrafoelenco"/>
        <w:numPr>
          <w:ilvl w:val="0"/>
          <w:numId w:val="25"/>
        </w:numPr>
      </w:pPr>
      <w:r>
        <w:t>Piattaforme;</w:t>
      </w:r>
    </w:p>
    <w:p w14:paraId="79C05411" w14:textId="77777777" w:rsidR="00C77C37" w:rsidRDefault="00204E95">
      <w:pPr>
        <w:pStyle w:val="Paragrafoelenco"/>
        <w:numPr>
          <w:ilvl w:val="0"/>
          <w:numId w:val="25"/>
        </w:numPr>
      </w:pPr>
      <w:r>
        <w:t>Infrastrutture;</w:t>
      </w:r>
    </w:p>
    <w:p w14:paraId="62660091" w14:textId="77777777" w:rsidR="00C77C37" w:rsidRDefault="00204E95">
      <w:pPr>
        <w:pStyle w:val="Paragrafoelenco"/>
        <w:numPr>
          <w:ilvl w:val="0"/>
          <w:numId w:val="25"/>
        </w:numPr>
      </w:pPr>
      <w:r>
        <w:t>Interoperabilità;</w:t>
      </w:r>
    </w:p>
    <w:p w14:paraId="7E30A632" w14:textId="77777777" w:rsidR="00C77C37" w:rsidRDefault="00204E95">
      <w:pPr>
        <w:pStyle w:val="Paragrafoelenco"/>
        <w:numPr>
          <w:ilvl w:val="0"/>
          <w:numId w:val="25"/>
        </w:numPr>
      </w:pPr>
      <w:r>
        <w:t>Sicurezza Informatica;</w:t>
      </w:r>
    </w:p>
    <w:p w14:paraId="2B64BF1B" w14:textId="77777777" w:rsidR="00C77C37" w:rsidRDefault="00204E95">
      <w:pPr>
        <w:pStyle w:val="Paragrafoelenco"/>
        <w:numPr>
          <w:ilvl w:val="0"/>
          <w:numId w:val="25"/>
        </w:numPr>
      </w:pPr>
      <w:r>
        <w:t>Leve per l’innovazione;</w:t>
      </w:r>
    </w:p>
    <w:p w14:paraId="53043ADC" w14:textId="77777777" w:rsidR="00C77C37" w:rsidRDefault="00204E95">
      <w:pPr>
        <w:pStyle w:val="Paragrafoelenco"/>
        <w:numPr>
          <w:ilvl w:val="0"/>
          <w:numId w:val="25"/>
        </w:numPr>
      </w:pPr>
      <w:bookmarkStart w:id="136" w:name="_Hlk127436533"/>
      <w:r>
        <w:t>Governare la trasformazione digitale</w:t>
      </w:r>
      <w:bookmarkEnd w:id="136"/>
      <w:r>
        <w:t>;</w:t>
      </w:r>
    </w:p>
    <w:p w14:paraId="6452F1C5" w14:textId="77777777" w:rsidR="00C77C37" w:rsidRDefault="00204E95">
      <w:pPr>
        <w:spacing w:before="0"/>
      </w:pPr>
      <w:r>
        <w:t>qui di seguito, per ciascuna di esse, si riportano delle tabelle sintetiche con l’evidenza di:</w:t>
      </w:r>
    </w:p>
    <w:p w14:paraId="5D120954" w14:textId="77777777" w:rsidR="00C77C37" w:rsidRDefault="00204E95">
      <w:pPr>
        <w:pStyle w:val="Paragrafoelenco"/>
        <w:numPr>
          <w:ilvl w:val="0"/>
          <w:numId w:val="24"/>
        </w:numPr>
      </w:pPr>
      <w:r>
        <w:t>Azione definita in ogni piano:</w:t>
      </w:r>
    </w:p>
    <w:p w14:paraId="17FCB189" w14:textId="77777777" w:rsidR="00C77C37" w:rsidRDefault="00204E95">
      <w:pPr>
        <w:pStyle w:val="Paragrafoelenco"/>
        <w:numPr>
          <w:ilvl w:val="1"/>
          <w:numId w:val="24"/>
        </w:numPr>
      </w:pPr>
      <w:r>
        <w:t>Piano 2020-2022;</w:t>
      </w:r>
    </w:p>
    <w:p w14:paraId="54339C53" w14:textId="77777777" w:rsidR="00C77C37" w:rsidRDefault="00204E95">
      <w:pPr>
        <w:pStyle w:val="Paragrafoelenco"/>
        <w:numPr>
          <w:ilvl w:val="1"/>
          <w:numId w:val="24"/>
        </w:numPr>
      </w:pPr>
      <w:r>
        <w:t>Piano 2021-2023;</w:t>
      </w:r>
    </w:p>
    <w:p w14:paraId="5B0107E6" w14:textId="77777777" w:rsidR="00C77C37" w:rsidRDefault="00204E95">
      <w:pPr>
        <w:pStyle w:val="Paragrafoelenco"/>
        <w:numPr>
          <w:ilvl w:val="1"/>
          <w:numId w:val="24"/>
        </w:numPr>
      </w:pPr>
      <w:r>
        <w:t>Piano 2022-2024;</w:t>
      </w:r>
    </w:p>
    <w:p w14:paraId="5198E409" w14:textId="77777777" w:rsidR="00C77C37" w:rsidRDefault="00204E95">
      <w:pPr>
        <w:pStyle w:val="Paragrafoelenco"/>
        <w:numPr>
          <w:ilvl w:val="0"/>
          <w:numId w:val="24"/>
        </w:numPr>
      </w:pPr>
      <w:r>
        <w:t>Stato di avanzamento;</w:t>
      </w:r>
    </w:p>
    <w:p w14:paraId="7171132B" w14:textId="77777777" w:rsidR="00C77C37" w:rsidRDefault="00204E95">
      <w:pPr>
        <w:pStyle w:val="Paragrafoelenco"/>
        <w:numPr>
          <w:ilvl w:val="0"/>
          <w:numId w:val="24"/>
        </w:numPr>
      </w:pPr>
      <w:r>
        <w:t>Ufficio/settore responsabile dell’esecuzione della linea di azione;</w:t>
      </w:r>
    </w:p>
    <w:p w14:paraId="19F95A06" w14:textId="77777777" w:rsidR="00C77C37" w:rsidRDefault="00204E95">
      <w:pPr>
        <w:pStyle w:val="Paragrafoelenco"/>
        <w:numPr>
          <w:ilvl w:val="0"/>
          <w:numId w:val="24"/>
        </w:numPr>
      </w:pPr>
      <w:r>
        <w:t>Il referente responsabile del controllo dell’avanzamento e del completamento con successo;</w:t>
      </w:r>
    </w:p>
    <w:p w14:paraId="0DFF6655" w14:textId="77777777" w:rsidR="00C77C37" w:rsidRDefault="00204E95">
      <w:pPr>
        <w:pStyle w:val="Paragrafoelenco"/>
        <w:numPr>
          <w:ilvl w:val="0"/>
          <w:numId w:val="24"/>
        </w:numPr>
      </w:pPr>
      <w:r>
        <w:t>La data di avvio;</w:t>
      </w:r>
    </w:p>
    <w:p w14:paraId="1A058FAA" w14:textId="77777777" w:rsidR="00C77C37" w:rsidRDefault="00204E95">
      <w:pPr>
        <w:pStyle w:val="Paragrafoelenco"/>
        <w:numPr>
          <w:ilvl w:val="0"/>
          <w:numId w:val="24"/>
        </w:numPr>
      </w:pPr>
      <w:r>
        <w:t>La data prevista di completamento;</w:t>
      </w:r>
    </w:p>
    <w:p w14:paraId="62653CDB" w14:textId="77777777" w:rsidR="00C77C37" w:rsidRDefault="00204E95">
      <w:pPr>
        <w:pStyle w:val="Paragrafoelenco"/>
        <w:numPr>
          <w:ilvl w:val="0"/>
          <w:numId w:val="24"/>
        </w:numPr>
      </w:pPr>
      <w:r>
        <w:t>La fonte di finanziamento.</w:t>
      </w:r>
    </w:p>
    <w:p w14:paraId="60DC7E11" w14:textId="77777777" w:rsidR="00C77C37" w:rsidRDefault="00204E95">
      <w:pPr>
        <w:spacing w:before="0" w:after="160" w:line="259" w:lineRule="auto"/>
        <w:ind w:left="0" w:right="0"/>
        <w:jc w:val="left"/>
      </w:pPr>
      <w:r>
        <w:br w:type="page"/>
      </w:r>
    </w:p>
    <w:p w14:paraId="05DD2A38" w14:textId="77777777" w:rsidR="00C77C37" w:rsidRDefault="00204E95">
      <w:pPr>
        <w:pStyle w:val="Titolo3"/>
      </w:pPr>
      <w:bookmarkStart w:id="137" w:name="_Toc93328301"/>
      <w:bookmarkStart w:id="138" w:name="_Toc127285873"/>
      <w:bookmarkStart w:id="139" w:name="_Toc127366220"/>
      <w:bookmarkStart w:id="140" w:name="_Toc157008372"/>
      <w:r>
        <w:lastRenderedPageBreak/>
        <w:t>Legenda dei simboli</w:t>
      </w:r>
      <w:bookmarkEnd w:id="137"/>
      <w:bookmarkEnd w:id="138"/>
      <w:bookmarkEnd w:id="139"/>
      <w:bookmarkEnd w:id="140"/>
    </w:p>
    <w:p w14:paraId="10A96A3B" w14:textId="77777777" w:rsidR="00C77C37" w:rsidRDefault="00C77C37"/>
    <w:tbl>
      <w:tblPr>
        <w:tblStyle w:val="Grigliatabella"/>
        <w:tblW w:w="6478" w:type="dxa"/>
        <w:tblInd w:w="1268" w:type="dxa"/>
        <w:tblLayout w:type="fixed"/>
        <w:tblLook w:val="04A0" w:firstRow="1" w:lastRow="0" w:firstColumn="1" w:lastColumn="0" w:noHBand="0" w:noVBand="1"/>
      </w:tblPr>
      <w:tblGrid>
        <w:gridCol w:w="1158"/>
        <w:gridCol w:w="5320"/>
      </w:tblGrid>
      <w:tr w:rsidR="00C77C37" w14:paraId="2A06A91C" w14:textId="77777777">
        <w:trPr>
          <w:cantSplit/>
          <w:trHeight w:hRule="exact" w:val="851"/>
        </w:trPr>
        <w:tc>
          <w:tcPr>
            <w:tcW w:w="1158" w:type="dxa"/>
            <w:vAlign w:val="center"/>
          </w:tcPr>
          <w:p w14:paraId="4E5D22A3" w14:textId="77777777" w:rsidR="00C77C37" w:rsidRDefault="00204E95">
            <w:pPr>
              <w:widowControl w:val="0"/>
              <w:spacing w:before="0" w:line="240" w:lineRule="auto"/>
              <w:jc w:val="center"/>
              <w:rPr>
                <w:rFonts w:ascii="Calibri" w:eastAsia="Calibri" w:hAnsi="Calibri"/>
              </w:rPr>
            </w:pPr>
            <w:r>
              <w:rPr>
                <w:noProof/>
                <w:lang w:eastAsia="it-IT"/>
              </w:rPr>
              <w:drawing>
                <wp:inline distT="0" distB="0" distL="0" distR="0" wp14:anchorId="3135D3B0" wp14:editId="7906C713">
                  <wp:extent cx="366395" cy="360045"/>
                  <wp:effectExtent l="0" t="0" r="0" b="0"/>
                  <wp:docPr id="1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6"/>
                          <pic:cNvPicPr>
                            <a:picLocks noChangeAspect="1" noChangeArrowheads="1"/>
                          </pic:cNvPicPr>
                        </pic:nvPicPr>
                        <pic:blipFill>
                          <a:blip r:embed="rId38"/>
                          <a:stretch>
                            <a:fillRect/>
                          </a:stretch>
                        </pic:blipFill>
                        <pic:spPr bwMode="auto">
                          <a:xfrm>
                            <a:off x="0" y="0"/>
                            <a:ext cx="366395" cy="360045"/>
                          </a:xfrm>
                          <a:prstGeom prst="rect">
                            <a:avLst/>
                          </a:prstGeom>
                        </pic:spPr>
                      </pic:pic>
                    </a:graphicData>
                  </a:graphic>
                </wp:inline>
              </w:drawing>
            </w:r>
          </w:p>
        </w:tc>
        <w:tc>
          <w:tcPr>
            <w:tcW w:w="5319" w:type="dxa"/>
            <w:vAlign w:val="center"/>
          </w:tcPr>
          <w:p w14:paraId="6606B2CF" w14:textId="77777777" w:rsidR="00C77C37" w:rsidRDefault="00204E95">
            <w:pPr>
              <w:widowControl w:val="0"/>
              <w:spacing w:before="0" w:line="240" w:lineRule="auto"/>
              <w:rPr>
                <w:rFonts w:ascii="Calibri" w:eastAsia="Calibri" w:hAnsi="Calibri"/>
              </w:rPr>
            </w:pPr>
            <w:r>
              <w:rPr>
                <w:rFonts w:eastAsia="Calibri"/>
              </w:rPr>
              <w:t>Linea d’azione conclusa con successo</w:t>
            </w:r>
          </w:p>
        </w:tc>
      </w:tr>
      <w:tr w:rsidR="00C77C37" w14:paraId="3231CF95" w14:textId="77777777">
        <w:trPr>
          <w:cantSplit/>
          <w:trHeight w:hRule="exact" w:val="851"/>
        </w:trPr>
        <w:tc>
          <w:tcPr>
            <w:tcW w:w="1158" w:type="dxa"/>
            <w:vAlign w:val="center"/>
          </w:tcPr>
          <w:p w14:paraId="5C925EF4" w14:textId="77777777" w:rsidR="00C77C37" w:rsidRDefault="00204E95">
            <w:pPr>
              <w:widowControl w:val="0"/>
              <w:spacing w:before="0" w:line="240" w:lineRule="auto"/>
              <w:rPr>
                <w:rFonts w:ascii="Calibri" w:eastAsia="Calibri" w:hAnsi="Calibri"/>
              </w:rPr>
            </w:pPr>
            <w:r>
              <w:rPr>
                <w:noProof/>
                <w:lang w:eastAsia="it-IT"/>
              </w:rPr>
              <w:drawing>
                <wp:inline distT="0" distB="0" distL="0" distR="0" wp14:anchorId="14101054" wp14:editId="474F13B3">
                  <wp:extent cx="416560" cy="416560"/>
                  <wp:effectExtent l="0" t="0" r="0" b="0"/>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8"/>
                          <pic:cNvPicPr>
                            <a:picLocks noChangeAspect="1" noChangeArrowheads="1"/>
                          </pic:cNvPicPr>
                        </pic:nvPicPr>
                        <pic:blipFill>
                          <a:blip r:embed="rId39"/>
                          <a:stretch>
                            <a:fillRect/>
                          </a:stretch>
                        </pic:blipFill>
                        <pic:spPr bwMode="auto">
                          <a:xfrm>
                            <a:off x="0" y="0"/>
                            <a:ext cx="416560" cy="416560"/>
                          </a:xfrm>
                          <a:prstGeom prst="rect">
                            <a:avLst/>
                          </a:prstGeom>
                        </pic:spPr>
                      </pic:pic>
                    </a:graphicData>
                  </a:graphic>
                </wp:inline>
              </w:drawing>
            </w:r>
          </w:p>
        </w:tc>
        <w:tc>
          <w:tcPr>
            <w:tcW w:w="5319" w:type="dxa"/>
            <w:vAlign w:val="center"/>
          </w:tcPr>
          <w:p w14:paraId="765190ED" w14:textId="77777777" w:rsidR="00C77C37" w:rsidRDefault="00204E95">
            <w:pPr>
              <w:widowControl w:val="0"/>
              <w:spacing w:before="0" w:line="240" w:lineRule="auto"/>
              <w:rPr>
                <w:rFonts w:ascii="Calibri" w:eastAsia="Calibri" w:hAnsi="Calibri"/>
              </w:rPr>
            </w:pPr>
            <w:r>
              <w:rPr>
                <w:rFonts w:eastAsia="Calibri"/>
              </w:rPr>
              <w:t>Linea d’azione pianificata</w:t>
            </w:r>
          </w:p>
        </w:tc>
      </w:tr>
      <w:tr w:rsidR="00C77C37" w14:paraId="06B1CC55" w14:textId="77777777">
        <w:trPr>
          <w:cantSplit/>
          <w:trHeight w:hRule="exact" w:val="851"/>
        </w:trPr>
        <w:tc>
          <w:tcPr>
            <w:tcW w:w="1158" w:type="dxa"/>
            <w:vAlign w:val="center"/>
          </w:tcPr>
          <w:p w14:paraId="3BF547CB" w14:textId="77777777" w:rsidR="00C77C37" w:rsidRDefault="00204E95">
            <w:pPr>
              <w:widowControl w:val="0"/>
              <w:spacing w:before="0" w:line="240" w:lineRule="auto"/>
              <w:rPr>
                <w:rFonts w:ascii="Calibri" w:eastAsia="Calibri" w:hAnsi="Calibri"/>
              </w:rPr>
            </w:pPr>
            <w:r>
              <w:rPr>
                <w:noProof/>
                <w:lang w:eastAsia="it-IT"/>
              </w:rPr>
              <w:drawing>
                <wp:inline distT="0" distB="0" distL="0" distR="0" wp14:anchorId="3FB381CF" wp14:editId="6487BC7C">
                  <wp:extent cx="414020" cy="396240"/>
                  <wp:effectExtent l="0" t="0" r="0" b="0"/>
                  <wp:docPr id="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4"/>
                          <pic:cNvPicPr>
                            <a:picLocks noChangeAspect="1" noChangeArrowheads="1"/>
                          </pic:cNvPicPr>
                        </pic:nvPicPr>
                        <pic:blipFill>
                          <a:blip r:embed="rId40"/>
                          <a:stretch>
                            <a:fillRect/>
                          </a:stretch>
                        </pic:blipFill>
                        <pic:spPr bwMode="auto">
                          <a:xfrm>
                            <a:off x="0" y="0"/>
                            <a:ext cx="414020" cy="396240"/>
                          </a:xfrm>
                          <a:prstGeom prst="rect">
                            <a:avLst/>
                          </a:prstGeom>
                        </pic:spPr>
                      </pic:pic>
                    </a:graphicData>
                  </a:graphic>
                </wp:inline>
              </w:drawing>
            </w:r>
          </w:p>
        </w:tc>
        <w:tc>
          <w:tcPr>
            <w:tcW w:w="5319" w:type="dxa"/>
            <w:vAlign w:val="center"/>
          </w:tcPr>
          <w:p w14:paraId="4BD00738" w14:textId="77777777" w:rsidR="00C77C37" w:rsidRDefault="00204E95">
            <w:pPr>
              <w:widowControl w:val="0"/>
              <w:spacing w:before="0" w:line="240" w:lineRule="auto"/>
              <w:rPr>
                <w:rFonts w:ascii="Calibri" w:eastAsia="Calibri" w:hAnsi="Calibri"/>
              </w:rPr>
            </w:pPr>
            <w:r>
              <w:rPr>
                <w:rFonts w:eastAsia="Calibri"/>
              </w:rPr>
              <w:t xml:space="preserve">Linea d’azione in corso di attuazione </w:t>
            </w:r>
          </w:p>
        </w:tc>
      </w:tr>
      <w:tr w:rsidR="00C77C37" w14:paraId="6D150A1B" w14:textId="77777777">
        <w:trPr>
          <w:cantSplit/>
          <w:trHeight w:hRule="exact" w:val="851"/>
        </w:trPr>
        <w:tc>
          <w:tcPr>
            <w:tcW w:w="1158" w:type="dxa"/>
            <w:vAlign w:val="center"/>
          </w:tcPr>
          <w:p w14:paraId="6DF89C50" w14:textId="77777777" w:rsidR="00C77C37" w:rsidRDefault="00204E95">
            <w:pPr>
              <w:widowControl w:val="0"/>
              <w:spacing w:before="0" w:line="240" w:lineRule="auto"/>
              <w:rPr>
                <w:rFonts w:ascii="Calibri" w:eastAsia="Calibri" w:hAnsi="Calibri"/>
              </w:rPr>
            </w:pPr>
            <w:r>
              <w:rPr>
                <w:rFonts w:eastAsia="Calibri"/>
              </w:rPr>
              <w:t xml:space="preserve"> </w:t>
            </w:r>
            <w:r>
              <w:rPr>
                <w:noProof/>
                <w:lang w:eastAsia="it-IT"/>
              </w:rPr>
              <w:drawing>
                <wp:inline distT="0" distB="0" distL="0" distR="0" wp14:anchorId="4656DC87" wp14:editId="0D570E13">
                  <wp:extent cx="358775" cy="358775"/>
                  <wp:effectExtent l="0" t="0" r="0" b="0"/>
                  <wp:docPr id="2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10"/>
                          <pic:cNvPicPr>
                            <a:picLocks noChangeAspect="1" noChangeArrowheads="1"/>
                          </pic:cNvPicPr>
                        </pic:nvPicPr>
                        <pic:blipFill>
                          <a:blip r:embed="rId41"/>
                          <a:stretch>
                            <a:fillRect/>
                          </a:stretch>
                        </pic:blipFill>
                        <pic:spPr bwMode="auto">
                          <a:xfrm>
                            <a:off x="0" y="0"/>
                            <a:ext cx="358775" cy="358775"/>
                          </a:xfrm>
                          <a:prstGeom prst="rect">
                            <a:avLst/>
                          </a:prstGeom>
                        </pic:spPr>
                      </pic:pic>
                    </a:graphicData>
                  </a:graphic>
                </wp:inline>
              </w:drawing>
            </w:r>
          </w:p>
        </w:tc>
        <w:tc>
          <w:tcPr>
            <w:tcW w:w="5319" w:type="dxa"/>
            <w:vAlign w:val="center"/>
          </w:tcPr>
          <w:p w14:paraId="7591952E" w14:textId="77777777" w:rsidR="00C77C37" w:rsidRDefault="00204E95">
            <w:pPr>
              <w:widowControl w:val="0"/>
              <w:spacing w:before="0" w:line="240" w:lineRule="auto"/>
              <w:rPr>
                <w:rFonts w:ascii="Calibri" w:eastAsia="Calibri" w:hAnsi="Calibri"/>
              </w:rPr>
            </w:pPr>
            <w:r>
              <w:rPr>
                <w:rFonts w:eastAsia="Calibri"/>
              </w:rPr>
              <w:t>Linea d’azione in attesa di sblocco (altre istituzioni)</w:t>
            </w:r>
          </w:p>
        </w:tc>
      </w:tr>
      <w:tr w:rsidR="00C77C37" w14:paraId="630DFE49" w14:textId="77777777">
        <w:trPr>
          <w:cantSplit/>
          <w:trHeight w:hRule="exact" w:val="851"/>
        </w:trPr>
        <w:tc>
          <w:tcPr>
            <w:tcW w:w="1158" w:type="dxa"/>
            <w:vAlign w:val="center"/>
          </w:tcPr>
          <w:p w14:paraId="5B31AC83" w14:textId="77777777" w:rsidR="00C77C37" w:rsidRDefault="00204E95">
            <w:pPr>
              <w:widowControl w:val="0"/>
              <w:spacing w:before="0" w:line="240" w:lineRule="auto"/>
              <w:rPr>
                <w:rFonts w:ascii="Calibri" w:eastAsia="Calibri" w:hAnsi="Calibri"/>
              </w:rPr>
            </w:pPr>
            <w:r>
              <w:rPr>
                <w:noProof/>
                <w:lang w:eastAsia="it-IT"/>
              </w:rPr>
              <w:drawing>
                <wp:inline distT="0" distB="0" distL="0" distR="0" wp14:anchorId="5FC39903" wp14:editId="6DD1E513">
                  <wp:extent cx="385445" cy="361315"/>
                  <wp:effectExtent l="0" t="0" r="0" b="0"/>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3"/>
                          <pic:cNvPicPr>
                            <a:picLocks noChangeAspect="1" noChangeArrowheads="1"/>
                          </pic:cNvPicPr>
                        </pic:nvPicPr>
                        <pic:blipFill>
                          <a:blip r:embed="rId42"/>
                          <a:stretch>
                            <a:fillRect/>
                          </a:stretch>
                        </pic:blipFill>
                        <pic:spPr bwMode="auto">
                          <a:xfrm>
                            <a:off x="0" y="0"/>
                            <a:ext cx="385445" cy="361315"/>
                          </a:xfrm>
                          <a:prstGeom prst="rect">
                            <a:avLst/>
                          </a:prstGeom>
                        </pic:spPr>
                      </pic:pic>
                    </a:graphicData>
                  </a:graphic>
                </wp:inline>
              </w:drawing>
            </w:r>
          </w:p>
        </w:tc>
        <w:tc>
          <w:tcPr>
            <w:tcW w:w="5319" w:type="dxa"/>
            <w:vAlign w:val="center"/>
          </w:tcPr>
          <w:p w14:paraId="1BB3FD6D" w14:textId="77777777" w:rsidR="00C77C37" w:rsidRDefault="00204E95">
            <w:pPr>
              <w:widowControl w:val="0"/>
              <w:spacing w:before="0" w:line="240" w:lineRule="auto"/>
              <w:rPr>
                <w:rFonts w:ascii="Calibri" w:eastAsia="Calibri" w:hAnsi="Calibri"/>
              </w:rPr>
            </w:pPr>
            <w:r>
              <w:rPr>
                <w:rFonts w:eastAsia="Calibri"/>
              </w:rPr>
              <w:t>Linea d’azione non completata</w:t>
            </w:r>
          </w:p>
        </w:tc>
      </w:tr>
      <w:tr w:rsidR="00C77C37" w14:paraId="2DD1DF06" w14:textId="77777777">
        <w:trPr>
          <w:cantSplit/>
          <w:trHeight w:hRule="exact" w:val="851"/>
        </w:trPr>
        <w:tc>
          <w:tcPr>
            <w:tcW w:w="1158" w:type="dxa"/>
            <w:vAlign w:val="center"/>
          </w:tcPr>
          <w:p w14:paraId="2AE11F7F" w14:textId="77777777" w:rsidR="00C77C37" w:rsidRDefault="00204E95">
            <w:pPr>
              <w:widowControl w:val="0"/>
              <w:spacing w:before="0" w:line="240" w:lineRule="auto"/>
              <w:rPr>
                <w:rFonts w:ascii="Calibri" w:eastAsia="Calibri" w:hAnsi="Calibri"/>
              </w:rPr>
            </w:pPr>
            <w:r>
              <w:rPr>
                <w:noProof/>
                <w:lang w:eastAsia="it-IT"/>
              </w:rPr>
              <w:drawing>
                <wp:inline distT="0" distB="0" distL="0" distR="0" wp14:anchorId="284DF3B4" wp14:editId="518B0626">
                  <wp:extent cx="360045" cy="360045"/>
                  <wp:effectExtent l="0" t="0" r="0" b="0"/>
                  <wp:docPr id="24" name="Immagine 5" descr="Unknown Svg Png Icon Free Download (#225413) - OnlineWebFon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5" descr="Unknown Svg Png Icon Free Download (#225413) - OnlineWebFonts.COM"/>
                          <pic:cNvPicPr>
                            <a:picLocks noChangeAspect="1" noChangeArrowheads="1"/>
                          </pic:cNvPicPr>
                        </pic:nvPicPr>
                        <pic:blipFill>
                          <a:blip r:embed="rId43"/>
                          <a:stretch>
                            <a:fillRect/>
                          </a:stretch>
                        </pic:blipFill>
                        <pic:spPr bwMode="auto">
                          <a:xfrm>
                            <a:off x="0" y="0"/>
                            <a:ext cx="360045" cy="360045"/>
                          </a:xfrm>
                          <a:prstGeom prst="rect">
                            <a:avLst/>
                          </a:prstGeom>
                        </pic:spPr>
                      </pic:pic>
                    </a:graphicData>
                  </a:graphic>
                </wp:inline>
              </w:drawing>
            </w:r>
          </w:p>
        </w:tc>
        <w:tc>
          <w:tcPr>
            <w:tcW w:w="5319" w:type="dxa"/>
            <w:vAlign w:val="center"/>
          </w:tcPr>
          <w:p w14:paraId="198210F9" w14:textId="77777777" w:rsidR="00C77C37" w:rsidRDefault="00204E95">
            <w:pPr>
              <w:widowControl w:val="0"/>
              <w:spacing w:before="0" w:line="240" w:lineRule="auto"/>
              <w:rPr>
                <w:rFonts w:ascii="Calibri" w:eastAsia="Calibri" w:hAnsi="Calibri"/>
              </w:rPr>
            </w:pPr>
            <w:r>
              <w:rPr>
                <w:rFonts w:eastAsia="Calibri"/>
              </w:rPr>
              <w:t>Linea d’azione non compatibile con tipologia dell’Ente</w:t>
            </w:r>
          </w:p>
        </w:tc>
      </w:tr>
      <w:tr w:rsidR="00C77C37" w14:paraId="72F47546" w14:textId="77777777">
        <w:trPr>
          <w:cantSplit/>
          <w:trHeight w:hRule="exact" w:val="851"/>
        </w:trPr>
        <w:tc>
          <w:tcPr>
            <w:tcW w:w="1158" w:type="dxa"/>
            <w:vAlign w:val="center"/>
          </w:tcPr>
          <w:p w14:paraId="6765B65B" w14:textId="77777777" w:rsidR="00C77C37" w:rsidRDefault="00204E95">
            <w:pPr>
              <w:widowControl w:val="0"/>
              <w:spacing w:before="0" w:line="240" w:lineRule="auto"/>
              <w:rPr>
                <w:rFonts w:ascii="Calibri" w:eastAsia="Calibri" w:hAnsi="Calibri"/>
              </w:rPr>
            </w:pPr>
            <w:r>
              <w:rPr>
                <w:rFonts w:eastAsia="Calibri"/>
                <w:noProof/>
                <w:lang w:eastAsia="it-IT"/>
              </w:rPr>
              <w:drawing>
                <wp:anchor distT="0" distB="0" distL="0" distR="0" simplePos="0" relativeHeight="1144" behindDoc="0" locked="0" layoutInCell="1" allowOverlap="1" wp14:anchorId="5D77BDC3" wp14:editId="55B7D980">
                  <wp:simplePos x="0" y="0"/>
                  <wp:positionH relativeFrom="column">
                    <wp:posOffset>95250</wp:posOffset>
                  </wp:positionH>
                  <wp:positionV relativeFrom="paragraph">
                    <wp:posOffset>29210</wp:posOffset>
                  </wp:positionV>
                  <wp:extent cx="431800" cy="431800"/>
                  <wp:effectExtent l="0" t="0" r="0" b="0"/>
                  <wp:wrapNone/>
                  <wp:docPr id="25" name="Immagine 14" descr="Aggiornamento Icona in Cristal Intens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14" descr="Aggiornamento Icona in Cristal Intense Icons"/>
                          <pic:cNvPicPr>
                            <a:picLocks noChangeAspect="1" noChangeArrowheads="1"/>
                          </pic:cNvPicPr>
                        </pic:nvPicPr>
                        <pic:blipFill>
                          <a:blip r:embed="rId44"/>
                          <a:stretch>
                            <a:fillRect/>
                          </a:stretch>
                        </pic:blipFill>
                        <pic:spPr bwMode="auto">
                          <a:xfrm>
                            <a:off x="0" y="0"/>
                            <a:ext cx="431800" cy="431800"/>
                          </a:xfrm>
                          <a:prstGeom prst="rect">
                            <a:avLst/>
                          </a:prstGeom>
                        </pic:spPr>
                      </pic:pic>
                    </a:graphicData>
                  </a:graphic>
                </wp:anchor>
              </w:drawing>
            </w:r>
          </w:p>
        </w:tc>
        <w:tc>
          <w:tcPr>
            <w:tcW w:w="5319" w:type="dxa"/>
            <w:vAlign w:val="center"/>
          </w:tcPr>
          <w:p w14:paraId="44119E58" w14:textId="77777777" w:rsidR="00C77C37" w:rsidRDefault="00204E95">
            <w:pPr>
              <w:widowControl w:val="0"/>
              <w:spacing w:before="0" w:line="240" w:lineRule="auto"/>
              <w:rPr>
                <w:rFonts w:ascii="Calibri" w:eastAsia="Calibri" w:hAnsi="Calibri"/>
              </w:rPr>
            </w:pPr>
            <w:r>
              <w:rPr>
                <w:rFonts w:eastAsia="Calibri"/>
              </w:rPr>
              <w:t>Linea di azione Superata dalle successive</w:t>
            </w:r>
          </w:p>
        </w:tc>
      </w:tr>
      <w:tr w:rsidR="00C77C37" w14:paraId="58AFE151" w14:textId="77777777">
        <w:trPr>
          <w:cantSplit/>
          <w:trHeight w:hRule="exact" w:val="851"/>
        </w:trPr>
        <w:tc>
          <w:tcPr>
            <w:tcW w:w="1158" w:type="dxa"/>
            <w:vAlign w:val="center"/>
          </w:tcPr>
          <w:p w14:paraId="2744006F" w14:textId="77777777" w:rsidR="00C77C37" w:rsidRDefault="00204E95">
            <w:pPr>
              <w:widowControl w:val="0"/>
              <w:spacing w:before="0" w:line="240" w:lineRule="auto"/>
              <w:rPr>
                <w:rFonts w:ascii="Calibri" w:eastAsia="Calibri" w:hAnsi="Calibri"/>
              </w:rPr>
            </w:pPr>
            <w:r>
              <w:rPr>
                <w:rFonts w:eastAsia="Calibri"/>
                <w:noProof/>
                <w:lang w:eastAsia="it-IT"/>
              </w:rPr>
              <w:drawing>
                <wp:anchor distT="0" distB="0" distL="0" distR="0" simplePos="0" relativeHeight="1145" behindDoc="0" locked="0" layoutInCell="1" allowOverlap="1" wp14:anchorId="091FE06A" wp14:editId="26F0FEFA">
                  <wp:simplePos x="0" y="0"/>
                  <wp:positionH relativeFrom="column">
                    <wp:posOffset>95250</wp:posOffset>
                  </wp:positionH>
                  <wp:positionV relativeFrom="paragraph">
                    <wp:posOffset>19685</wp:posOffset>
                  </wp:positionV>
                  <wp:extent cx="360045" cy="360045"/>
                  <wp:effectExtent l="0" t="0" r="0" b="0"/>
                  <wp:wrapNone/>
                  <wp:docPr id="26" name="Immagine 15" descr="Futuro | Icona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15" descr="Futuro | Icona Gratis"/>
                          <pic:cNvPicPr>
                            <a:picLocks noChangeAspect="1" noChangeArrowheads="1"/>
                          </pic:cNvPicPr>
                        </pic:nvPicPr>
                        <pic:blipFill>
                          <a:blip r:embed="rId45"/>
                          <a:stretch>
                            <a:fillRect/>
                          </a:stretch>
                        </pic:blipFill>
                        <pic:spPr bwMode="auto">
                          <a:xfrm>
                            <a:off x="0" y="0"/>
                            <a:ext cx="360045" cy="360045"/>
                          </a:xfrm>
                          <a:prstGeom prst="rect">
                            <a:avLst/>
                          </a:prstGeom>
                        </pic:spPr>
                      </pic:pic>
                    </a:graphicData>
                  </a:graphic>
                </wp:anchor>
              </w:drawing>
            </w:r>
          </w:p>
        </w:tc>
        <w:tc>
          <w:tcPr>
            <w:tcW w:w="5319" w:type="dxa"/>
            <w:vAlign w:val="center"/>
          </w:tcPr>
          <w:p w14:paraId="76D15B7E" w14:textId="77777777" w:rsidR="00C77C37" w:rsidRDefault="00204E95">
            <w:pPr>
              <w:widowControl w:val="0"/>
              <w:spacing w:before="0" w:line="240" w:lineRule="auto"/>
              <w:rPr>
                <w:rFonts w:ascii="Calibri" w:eastAsia="Calibri" w:hAnsi="Calibri"/>
              </w:rPr>
            </w:pPr>
            <w:r>
              <w:rPr>
                <w:rFonts w:eastAsia="Calibri"/>
              </w:rPr>
              <w:t>Linea di azione Pianificata oltre orizzonte Piano</w:t>
            </w:r>
          </w:p>
        </w:tc>
      </w:tr>
    </w:tbl>
    <w:p w14:paraId="6E63B3AB" w14:textId="77777777" w:rsidR="00C77C37" w:rsidRDefault="00C77C37">
      <w:pPr>
        <w:sectPr w:rsidR="00C77C37" w:rsidSect="00DD61E3">
          <w:headerReference w:type="default" r:id="rId46"/>
          <w:footerReference w:type="default" r:id="rId47"/>
          <w:pgSz w:w="11906" w:h="16838"/>
          <w:pgMar w:top="1440" w:right="1440" w:bottom="1440" w:left="1440" w:header="720" w:footer="540" w:gutter="0"/>
          <w:cols w:space="720"/>
          <w:formProt w:val="0"/>
          <w:docGrid w:linePitch="360" w:charSpace="4096"/>
        </w:sectPr>
      </w:pPr>
    </w:p>
    <w:p w14:paraId="60C7F756" w14:textId="01E308BA" w:rsidR="0069061F" w:rsidRDefault="008D0DCB" w:rsidP="008D0DCB">
      <w:pPr>
        <w:pStyle w:val="Titolo3"/>
      </w:pPr>
      <w:bookmarkStart w:id="141" w:name="_Toc157008373"/>
      <w:r>
        <w:lastRenderedPageBreak/>
        <w:t>Elenco Linee da zione come da piani AgID</w:t>
      </w:r>
      <w:bookmarkEnd w:id="141"/>
      <w:r>
        <w:t xml:space="preserve"> </w:t>
      </w:r>
    </w:p>
    <w:tbl>
      <w:tblPr>
        <w:tblW w:w="15461" w:type="dxa"/>
        <w:tblCellMar>
          <w:left w:w="70" w:type="dxa"/>
          <w:right w:w="70" w:type="dxa"/>
        </w:tblCellMar>
        <w:tblLook w:val="04A0" w:firstRow="1" w:lastRow="0" w:firstColumn="1" w:lastColumn="0" w:noHBand="0" w:noVBand="1"/>
      </w:tblPr>
      <w:tblGrid>
        <w:gridCol w:w="1080"/>
        <w:gridCol w:w="3760"/>
        <w:gridCol w:w="1038"/>
        <w:gridCol w:w="3760"/>
        <w:gridCol w:w="1120"/>
        <w:gridCol w:w="3760"/>
        <w:gridCol w:w="943"/>
      </w:tblGrid>
      <w:tr w:rsidR="00390427" w:rsidRPr="00390427" w14:paraId="329383E2" w14:textId="77777777" w:rsidTr="00A51B5D">
        <w:trPr>
          <w:trHeight w:val="315"/>
        </w:trPr>
        <w:tc>
          <w:tcPr>
            <w:tcW w:w="15461"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4D2B5C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b/>
                <w:bCs/>
                <w:color w:val="000000"/>
                <w:lang w:eastAsia="it-IT"/>
              </w:rPr>
            </w:pPr>
            <w:bookmarkStart w:id="142" w:name="_Hlk158041802"/>
            <w:r w:rsidRPr="00390427">
              <w:rPr>
                <w:rFonts w:ascii="Calibri" w:eastAsia="Times New Roman" w:hAnsi="Calibri" w:cs="Calibri"/>
                <w:b/>
                <w:bCs/>
                <w:color w:val="000000"/>
                <w:lang w:eastAsia="it-IT"/>
              </w:rPr>
              <w:t>Linea d'Azione</w:t>
            </w:r>
          </w:p>
        </w:tc>
      </w:tr>
      <w:tr w:rsidR="00390427" w:rsidRPr="00390427" w14:paraId="1C825DBC" w14:textId="77777777" w:rsidTr="00A51B5D">
        <w:trPr>
          <w:trHeight w:val="315"/>
        </w:trPr>
        <w:tc>
          <w:tcPr>
            <w:tcW w:w="1080" w:type="dxa"/>
            <w:vMerge w:val="restart"/>
            <w:tcBorders>
              <w:top w:val="nil"/>
              <w:left w:val="single" w:sz="8" w:space="0" w:color="auto"/>
              <w:bottom w:val="single" w:sz="8" w:space="0" w:color="000000"/>
              <w:right w:val="single" w:sz="4" w:space="0" w:color="auto"/>
            </w:tcBorders>
            <w:shd w:val="clear" w:color="auto" w:fill="auto"/>
            <w:vAlign w:val="center"/>
            <w:hideMark/>
          </w:tcPr>
          <w:p w14:paraId="6037359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Obiettivo </w:t>
            </w:r>
            <w:r w:rsidRPr="00390427">
              <w:rPr>
                <w:rFonts w:ascii="Calibri" w:eastAsia="Times New Roman" w:hAnsi="Calibri" w:cs="Calibri"/>
                <w:b/>
                <w:bCs/>
                <w:color w:val="000000"/>
                <w:sz w:val="18"/>
                <w:szCs w:val="18"/>
                <w:lang w:eastAsia="it-IT"/>
              </w:rPr>
              <w:br/>
              <w:t>L.A.</w:t>
            </w:r>
          </w:p>
        </w:tc>
        <w:tc>
          <w:tcPr>
            <w:tcW w:w="4798" w:type="dxa"/>
            <w:gridSpan w:val="2"/>
            <w:tcBorders>
              <w:top w:val="single" w:sz="4" w:space="0" w:color="auto"/>
              <w:left w:val="nil"/>
              <w:bottom w:val="single" w:sz="4" w:space="0" w:color="auto"/>
              <w:right w:val="nil"/>
            </w:tcBorders>
            <w:shd w:val="clear" w:color="auto" w:fill="auto"/>
            <w:vAlign w:val="center"/>
            <w:hideMark/>
          </w:tcPr>
          <w:p w14:paraId="4110B0E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1° Piano 2020-2022</w:t>
            </w:r>
          </w:p>
        </w:tc>
        <w:tc>
          <w:tcPr>
            <w:tcW w:w="4880" w:type="dxa"/>
            <w:gridSpan w:val="2"/>
            <w:tcBorders>
              <w:top w:val="single" w:sz="4" w:space="0" w:color="auto"/>
              <w:left w:val="single" w:sz="4" w:space="0" w:color="auto"/>
              <w:bottom w:val="single" w:sz="4" w:space="0" w:color="auto"/>
              <w:right w:val="nil"/>
            </w:tcBorders>
            <w:shd w:val="clear" w:color="auto" w:fill="auto"/>
            <w:vAlign w:val="center"/>
            <w:hideMark/>
          </w:tcPr>
          <w:p w14:paraId="3860A60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2° Piano 2021-2023</w:t>
            </w:r>
          </w:p>
        </w:tc>
        <w:tc>
          <w:tcPr>
            <w:tcW w:w="4700"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14:paraId="6ECF29C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3° Piano 2020-2024</w:t>
            </w:r>
          </w:p>
        </w:tc>
      </w:tr>
      <w:tr w:rsidR="00390427" w:rsidRPr="00390427" w14:paraId="1B8E9E7F" w14:textId="77777777" w:rsidTr="00A51B5D">
        <w:trPr>
          <w:trHeight w:val="495"/>
        </w:trPr>
        <w:tc>
          <w:tcPr>
            <w:tcW w:w="1080" w:type="dxa"/>
            <w:vMerge/>
            <w:tcBorders>
              <w:top w:val="nil"/>
              <w:left w:val="single" w:sz="8" w:space="0" w:color="auto"/>
              <w:bottom w:val="single" w:sz="8" w:space="0" w:color="000000"/>
              <w:right w:val="single" w:sz="4" w:space="0" w:color="auto"/>
            </w:tcBorders>
            <w:vAlign w:val="center"/>
            <w:hideMark/>
          </w:tcPr>
          <w:p w14:paraId="5052AFD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b/>
                <w:bCs/>
                <w:color w:val="000000"/>
                <w:sz w:val="18"/>
                <w:szCs w:val="18"/>
                <w:lang w:eastAsia="it-IT"/>
              </w:rPr>
            </w:pPr>
          </w:p>
        </w:tc>
        <w:tc>
          <w:tcPr>
            <w:tcW w:w="3760" w:type="dxa"/>
            <w:tcBorders>
              <w:top w:val="nil"/>
              <w:left w:val="nil"/>
              <w:bottom w:val="single" w:sz="8" w:space="0" w:color="auto"/>
              <w:right w:val="single" w:sz="4" w:space="0" w:color="auto"/>
            </w:tcBorders>
            <w:shd w:val="clear" w:color="auto" w:fill="auto"/>
            <w:vAlign w:val="center"/>
            <w:hideMark/>
          </w:tcPr>
          <w:p w14:paraId="0F2FB973"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038" w:type="dxa"/>
            <w:tcBorders>
              <w:top w:val="nil"/>
              <w:left w:val="nil"/>
              <w:bottom w:val="single" w:sz="8" w:space="0" w:color="auto"/>
              <w:right w:val="single" w:sz="4" w:space="0" w:color="auto"/>
            </w:tcBorders>
            <w:shd w:val="clear" w:color="auto" w:fill="auto"/>
            <w:vAlign w:val="center"/>
            <w:hideMark/>
          </w:tcPr>
          <w:p w14:paraId="34EA200F"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14DCAA88"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20" w:type="dxa"/>
            <w:tcBorders>
              <w:top w:val="nil"/>
              <w:left w:val="nil"/>
              <w:bottom w:val="single" w:sz="8" w:space="0" w:color="auto"/>
              <w:right w:val="single" w:sz="4" w:space="0" w:color="auto"/>
            </w:tcBorders>
            <w:shd w:val="clear" w:color="auto" w:fill="auto"/>
            <w:vAlign w:val="center"/>
            <w:hideMark/>
          </w:tcPr>
          <w:p w14:paraId="7086D707"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7FF42D83"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940" w:type="dxa"/>
            <w:tcBorders>
              <w:top w:val="nil"/>
              <w:left w:val="nil"/>
              <w:bottom w:val="single" w:sz="8" w:space="0" w:color="auto"/>
              <w:right w:val="single" w:sz="8" w:space="0" w:color="auto"/>
            </w:tcBorders>
            <w:shd w:val="clear" w:color="auto" w:fill="auto"/>
            <w:vAlign w:val="center"/>
            <w:hideMark/>
          </w:tcPr>
          <w:p w14:paraId="5582F21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r>
      <w:bookmarkEnd w:id="142"/>
      <w:tr w:rsidR="00390427" w:rsidRPr="00390427" w14:paraId="104B4A8B"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496339D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CAP1.PA.LA01</w:t>
            </w:r>
          </w:p>
        </w:tc>
        <w:tc>
          <w:tcPr>
            <w:tcW w:w="3760" w:type="dxa"/>
            <w:tcBorders>
              <w:top w:val="nil"/>
              <w:left w:val="nil"/>
              <w:bottom w:val="single" w:sz="4" w:space="0" w:color="auto"/>
              <w:right w:val="single" w:sz="4" w:space="0" w:color="auto"/>
            </w:tcBorders>
            <w:shd w:val="clear" w:color="auto" w:fill="auto"/>
            <w:vAlign w:val="center"/>
            <w:hideMark/>
          </w:tcPr>
          <w:p w14:paraId="7EADCBE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finalizzano l’adesione a Web Analytics Italia per migliorare il processo evolutivo dei propri servizi online</w:t>
            </w:r>
          </w:p>
        </w:tc>
        <w:tc>
          <w:tcPr>
            <w:tcW w:w="1038" w:type="dxa"/>
            <w:tcBorders>
              <w:top w:val="nil"/>
              <w:left w:val="nil"/>
              <w:bottom w:val="single" w:sz="4" w:space="0" w:color="auto"/>
              <w:right w:val="single" w:sz="4" w:space="0" w:color="auto"/>
            </w:tcBorders>
            <w:shd w:val="clear" w:color="auto" w:fill="auto"/>
            <w:vAlign w:val="center"/>
            <w:hideMark/>
          </w:tcPr>
          <w:p w14:paraId="6C7574D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w:t>
            </w:r>
          </w:p>
        </w:tc>
        <w:tc>
          <w:tcPr>
            <w:tcW w:w="3760" w:type="dxa"/>
            <w:tcBorders>
              <w:top w:val="nil"/>
              <w:left w:val="nil"/>
              <w:bottom w:val="single" w:sz="4" w:space="0" w:color="auto"/>
              <w:right w:val="single" w:sz="4" w:space="0" w:color="auto"/>
            </w:tcBorders>
            <w:shd w:val="clear" w:color="auto" w:fill="auto"/>
            <w:vAlign w:val="center"/>
            <w:hideMark/>
          </w:tcPr>
          <w:p w14:paraId="710FBD2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pubblicano le statistiche di utilizzo dei propri siti web e possono, in funzione delle proprie necessità, aderire a Web Analytics Italia per migliorare il processo evolutivo dei propri servizi online</w:t>
            </w:r>
          </w:p>
        </w:tc>
        <w:tc>
          <w:tcPr>
            <w:tcW w:w="1120" w:type="dxa"/>
            <w:tcBorders>
              <w:top w:val="nil"/>
              <w:left w:val="nil"/>
              <w:bottom w:val="single" w:sz="4" w:space="0" w:color="auto"/>
              <w:right w:val="single" w:sz="4" w:space="0" w:color="auto"/>
            </w:tcBorders>
            <w:shd w:val="clear" w:color="auto" w:fill="auto"/>
            <w:vAlign w:val="center"/>
            <w:hideMark/>
          </w:tcPr>
          <w:p w14:paraId="03D8A72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(in corso)  </w:t>
            </w:r>
          </w:p>
        </w:tc>
        <w:tc>
          <w:tcPr>
            <w:tcW w:w="3760" w:type="dxa"/>
            <w:tcBorders>
              <w:top w:val="nil"/>
              <w:left w:val="nil"/>
              <w:bottom w:val="single" w:sz="4" w:space="0" w:color="auto"/>
              <w:right w:val="single" w:sz="4" w:space="0" w:color="auto"/>
            </w:tcBorders>
            <w:shd w:val="clear" w:color="auto" w:fill="auto"/>
            <w:vAlign w:val="center"/>
            <w:hideMark/>
          </w:tcPr>
          <w:p w14:paraId="2990AA1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pubblicano le statistiche di utilizzo dei propri siti web e possono, in funzione delle proprie necessità, aderire a Web Analytics Italia per migliorare il processo evolutivo dei propri servizi online</w:t>
            </w:r>
          </w:p>
        </w:tc>
        <w:tc>
          <w:tcPr>
            <w:tcW w:w="940" w:type="dxa"/>
            <w:tcBorders>
              <w:top w:val="nil"/>
              <w:left w:val="nil"/>
              <w:bottom w:val="single" w:sz="4" w:space="0" w:color="auto"/>
              <w:right w:val="single" w:sz="8" w:space="0" w:color="auto"/>
            </w:tcBorders>
            <w:shd w:val="clear" w:color="auto" w:fill="auto"/>
            <w:vAlign w:val="center"/>
            <w:hideMark/>
          </w:tcPr>
          <w:p w14:paraId="2DD99C3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640D6431"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377786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CAP1.PA.LA02</w:t>
            </w:r>
          </w:p>
        </w:tc>
        <w:tc>
          <w:tcPr>
            <w:tcW w:w="3760" w:type="dxa"/>
            <w:tcBorders>
              <w:top w:val="nil"/>
              <w:left w:val="nil"/>
              <w:bottom w:val="single" w:sz="4" w:space="0" w:color="auto"/>
              <w:right w:val="single" w:sz="4" w:space="0" w:color="auto"/>
            </w:tcBorders>
            <w:shd w:val="clear" w:color="auto" w:fill="auto"/>
            <w:vAlign w:val="center"/>
            <w:hideMark/>
          </w:tcPr>
          <w:p w14:paraId="09540E2C"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continuano ad applicare i principi Cloud First &amp; SaaS First e ad acquisire servizi cloud solo se qualificati da AGID, consultando il Catalogo dei servizi cloud qualificati da AGID per la PA</w:t>
            </w:r>
          </w:p>
        </w:tc>
        <w:tc>
          <w:tcPr>
            <w:tcW w:w="1038" w:type="dxa"/>
            <w:tcBorders>
              <w:top w:val="nil"/>
              <w:left w:val="nil"/>
              <w:bottom w:val="single" w:sz="4" w:space="0" w:color="auto"/>
              <w:right w:val="single" w:sz="4" w:space="0" w:color="auto"/>
            </w:tcBorders>
            <w:shd w:val="clear" w:color="auto" w:fill="auto"/>
            <w:vAlign w:val="center"/>
            <w:hideMark/>
          </w:tcPr>
          <w:p w14:paraId="78B06B4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w:t>
            </w:r>
          </w:p>
        </w:tc>
        <w:tc>
          <w:tcPr>
            <w:tcW w:w="3760" w:type="dxa"/>
            <w:tcBorders>
              <w:top w:val="nil"/>
              <w:left w:val="nil"/>
              <w:bottom w:val="single" w:sz="4" w:space="0" w:color="auto"/>
              <w:right w:val="single" w:sz="4" w:space="0" w:color="auto"/>
            </w:tcBorders>
            <w:shd w:val="clear" w:color="auto" w:fill="auto"/>
            <w:vAlign w:val="center"/>
            <w:hideMark/>
          </w:tcPr>
          <w:p w14:paraId="23104C9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continuano ad applicare i principi Cloud First &amp; SaaS First e ad acquisire servizi cloud solo se qualificati da AGID, consultando il Catalogo dei servizi Cloud qualificati da AGID per la PA</w:t>
            </w:r>
          </w:p>
        </w:tc>
        <w:tc>
          <w:tcPr>
            <w:tcW w:w="1120" w:type="dxa"/>
            <w:tcBorders>
              <w:top w:val="nil"/>
              <w:left w:val="nil"/>
              <w:bottom w:val="single" w:sz="4" w:space="0" w:color="auto"/>
              <w:right w:val="single" w:sz="4" w:space="0" w:color="auto"/>
            </w:tcBorders>
            <w:shd w:val="clear" w:color="auto" w:fill="auto"/>
            <w:vAlign w:val="center"/>
            <w:hideMark/>
          </w:tcPr>
          <w:p w14:paraId="4357604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(in corso)  </w:t>
            </w:r>
          </w:p>
        </w:tc>
        <w:tc>
          <w:tcPr>
            <w:tcW w:w="3760" w:type="dxa"/>
            <w:tcBorders>
              <w:top w:val="nil"/>
              <w:left w:val="nil"/>
              <w:bottom w:val="single" w:sz="4" w:space="0" w:color="auto"/>
              <w:right w:val="single" w:sz="4" w:space="0" w:color="auto"/>
            </w:tcBorders>
            <w:shd w:val="clear" w:color="auto" w:fill="auto"/>
            <w:vAlign w:val="center"/>
            <w:hideMark/>
          </w:tcPr>
          <w:p w14:paraId="0A153D5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continuano ad applicare il principio Cloud First e ad acquisire servizi cloud solo se qualificati</w:t>
            </w:r>
          </w:p>
        </w:tc>
        <w:tc>
          <w:tcPr>
            <w:tcW w:w="940" w:type="dxa"/>
            <w:tcBorders>
              <w:top w:val="nil"/>
              <w:left w:val="nil"/>
              <w:bottom w:val="single" w:sz="4" w:space="0" w:color="auto"/>
              <w:right w:val="single" w:sz="8" w:space="0" w:color="auto"/>
            </w:tcBorders>
            <w:shd w:val="clear" w:color="auto" w:fill="auto"/>
            <w:vAlign w:val="center"/>
            <w:hideMark/>
          </w:tcPr>
          <w:p w14:paraId="6BDEF94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0F32956C"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0C9988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CAP1.PA.LA04</w:t>
            </w:r>
          </w:p>
        </w:tc>
        <w:tc>
          <w:tcPr>
            <w:tcW w:w="3760" w:type="dxa"/>
            <w:tcBorders>
              <w:top w:val="nil"/>
              <w:left w:val="nil"/>
              <w:bottom w:val="single" w:sz="4" w:space="0" w:color="auto"/>
              <w:right w:val="single" w:sz="4" w:space="0" w:color="auto"/>
            </w:tcBorders>
            <w:shd w:val="clear" w:color="auto" w:fill="auto"/>
            <w:vAlign w:val="center"/>
            <w:hideMark/>
          </w:tcPr>
          <w:p w14:paraId="00ED15A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adeguano le proprie procedure di procurement alle linee guida di AGID sull’acquisizione del software e al CAD (artt. 68 e 69)</w:t>
            </w:r>
          </w:p>
        </w:tc>
        <w:tc>
          <w:tcPr>
            <w:tcW w:w="1038" w:type="dxa"/>
            <w:tcBorders>
              <w:top w:val="nil"/>
              <w:left w:val="nil"/>
              <w:bottom w:val="single" w:sz="4" w:space="0" w:color="auto"/>
              <w:right w:val="single" w:sz="4" w:space="0" w:color="auto"/>
            </w:tcBorders>
            <w:shd w:val="clear" w:color="auto" w:fill="auto"/>
            <w:vAlign w:val="center"/>
            <w:hideMark/>
          </w:tcPr>
          <w:p w14:paraId="2264CB3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ottobre 2020 </w:t>
            </w:r>
          </w:p>
        </w:tc>
        <w:tc>
          <w:tcPr>
            <w:tcW w:w="3760" w:type="dxa"/>
            <w:tcBorders>
              <w:top w:val="nil"/>
              <w:left w:val="nil"/>
              <w:bottom w:val="single" w:sz="4" w:space="0" w:color="auto"/>
              <w:right w:val="single" w:sz="4" w:space="0" w:color="auto"/>
            </w:tcBorders>
            <w:shd w:val="clear" w:color="auto" w:fill="auto"/>
            <w:vAlign w:val="center"/>
            <w:hideMark/>
          </w:tcPr>
          <w:p w14:paraId="0FD5AAA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adeguano le proprie procedure di procurement alle linee guida di AGID sull’acquisizione del software e al CAD (artt. 68 e 69)</w:t>
            </w:r>
          </w:p>
        </w:tc>
        <w:tc>
          <w:tcPr>
            <w:tcW w:w="1120" w:type="dxa"/>
            <w:tcBorders>
              <w:top w:val="nil"/>
              <w:left w:val="nil"/>
              <w:bottom w:val="single" w:sz="4" w:space="0" w:color="auto"/>
              <w:right w:val="single" w:sz="4" w:space="0" w:color="auto"/>
            </w:tcBorders>
            <w:shd w:val="clear" w:color="auto" w:fill="auto"/>
            <w:vAlign w:val="center"/>
            <w:hideMark/>
          </w:tcPr>
          <w:p w14:paraId="130045D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ottobre 2022 </w:t>
            </w:r>
          </w:p>
        </w:tc>
        <w:tc>
          <w:tcPr>
            <w:tcW w:w="3760" w:type="dxa"/>
            <w:tcBorders>
              <w:top w:val="nil"/>
              <w:left w:val="nil"/>
              <w:bottom w:val="single" w:sz="4" w:space="0" w:color="auto"/>
              <w:right w:val="single" w:sz="4" w:space="0" w:color="auto"/>
            </w:tcBorders>
            <w:shd w:val="clear" w:color="auto" w:fill="auto"/>
            <w:vAlign w:val="center"/>
            <w:hideMark/>
          </w:tcPr>
          <w:p w14:paraId="0C84D6D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adeguano le proprie procedure di procurement alle Linee Guida di AGID sull’acquisizione del software e al CAD (artt. 68 e 69)</w:t>
            </w:r>
          </w:p>
        </w:tc>
        <w:tc>
          <w:tcPr>
            <w:tcW w:w="940" w:type="dxa"/>
            <w:tcBorders>
              <w:top w:val="nil"/>
              <w:left w:val="nil"/>
              <w:bottom w:val="single" w:sz="4" w:space="0" w:color="auto"/>
              <w:right w:val="single" w:sz="8" w:space="0" w:color="auto"/>
            </w:tcBorders>
            <w:shd w:val="clear" w:color="auto" w:fill="auto"/>
            <w:vAlign w:val="center"/>
            <w:hideMark/>
          </w:tcPr>
          <w:p w14:paraId="5F31A92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ottobre 2022 </w:t>
            </w:r>
          </w:p>
        </w:tc>
      </w:tr>
      <w:tr w:rsidR="00390427" w:rsidRPr="00390427" w14:paraId="59287ABF"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229B090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CAP1.PA.LA05</w:t>
            </w:r>
          </w:p>
        </w:tc>
        <w:tc>
          <w:tcPr>
            <w:tcW w:w="3760" w:type="dxa"/>
            <w:tcBorders>
              <w:top w:val="nil"/>
              <w:left w:val="nil"/>
              <w:bottom w:val="single" w:sz="4" w:space="0" w:color="auto"/>
              <w:right w:val="single" w:sz="4" w:space="0" w:color="auto"/>
            </w:tcBorders>
            <w:shd w:val="clear" w:color="auto" w:fill="auto"/>
            <w:vAlign w:val="center"/>
            <w:hideMark/>
          </w:tcPr>
          <w:p w14:paraId="30B6459C"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PAC aderiscono al programma di abilitazione al cloud e trasmettono al Dipartimento per la Trasformazione Digitale gli elaborati previsti dalla fase di assessment dei servizi avviando le fasi successive. Le PAL aderiscono al programma di abilitazione al cloud e trasmettono ad AGID gli elaborati previsti dalla fase di assessment dei servizi e avviano le fasi successive</w:t>
            </w:r>
          </w:p>
        </w:tc>
        <w:tc>
          <w:tcPr>
            <w:tcW w:w="1038" w:type="dxa"/>
            <w:tcBorders>
              <w:top w:val="nil"/>
              <w:left w:val="nil"/>
              <w:bottom w:val="single" w:sz="4" w:space="0" w:color="auto"/>
              <w:right w:val="single" w:sz="4" w:space="0" w:color="auto"/>
            </w:tcBorders>
            <w:shd w:val="clear" w:color="auto" w:fill="auto"/>
            <w:vAlign w:val="center"/>
            <w:hideMark/>
          </w:tcPr>
          <w:p w14:paraId="5B99330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2020  </w:t>
            </w:r>
          </w:p>
        </w:tc>
        <w:tc>
          <w:tcPr>
            <w:tcW w:w="3760" w:type="dxa"/>
            <w:tcBorders>
              <w:top w:val="nil"/>
              <w:left w:val="nil"/>
              <w:bottom w:val="single" w:sz="4" w:space="0" w:color="auto"/>
              <w:right w:val="single" w:sz="4" w:space="0" w:color="auto"/>
            </w:tcBorders>
            <w:shd w:val="clear" w:color="auto" w:fill="auto"/>
            <w:vAlign w:val="center"/>
            <w:hideMark/>
          </w:tcPr>
          <w:p w14:paraId="1F46BC8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PAC aderiscono al programma di abilitazione al cloud e trasmettono al Dipartimento per la Trasformazione Digitale gli elaborati previsti dalla fase di assessment dei servizi avviando le fasi successive. Le PAL aderiscono al programma di abilitazione al cloud e trasmettono ad AGID gli elaborati previsti dalla fase di assessment dei servizi e avviano le fasi successive</w:t>
            </w:r>
          </w:p>
        </w:tc>
        <w:tc>
          <w:tcPr>
            <w:tcW w:w="1120" w:type="dxa"/>
            <w:tcBorders>
              <w:top w:val="nil"/>
              <w:left w:val="nil"/>
              <w:bottom w:val="single" w:sz="4" w:space="0" w:color="auto"/>
              <w:right w:val="single" w:sz="4" w:space="0" w:color="auto"/>
            </w:tcBorders>
            <w:shd w:val="clear" w:color="auto" w:fill="auto"/>
            <w:vAlign w:val="center"/>
            <w:hideMark/>
          </w:tcPr>
          <w:p w14:paraId="77BC4B7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2020  </w:t>
            </w:r>
          </w:p>
        </w:tc>
        <w:tc>
          <w:tcPr>
            <w:tcW w:w="3760" w:type="dxa"/>
            <w:tcBorders>
              <w:top w:val="nil"/>
              <w:left w:val="nil"/>
              <w:bottom w:val="single" w:sz="4" w:space="0" w:color="auto"/>
              <w:right w:val="single" w:sz="4" w:space="0" w:color="auto"/>
            </w:tcBorders>
            <w:shd w:val="clear" w:color="auto" w:fill="auto"/>
            <w:vAlign w:val="center"/>
            <w:hideMark/>
          </w:tcPr>
          <w:p w14:paraId="0DA89ADC"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PAC aderiscono al programma di abilitazione al cloud e trasmettono al Dipartimento per la Trasformazione Digitale gli elaborati previsti dalla fase di assessment dei servizi avviando le fasi successive. Le PAL aderiscono al programma di abilitazione al cloud e trasmettono ad AGID gli elaborati previsti dalla fase di assessment dei servizi e avviano le fasi successive</w:t>
            </w:r>
          </w:p>
        </w:tc>
        <w:tc>
          <w:tcPr>
            <w:tcW w:w="940" w:type="dxa"/>
            <w:tcBorders>
              <w:top w:val="nil"/>
              <w:left w:val="nil"/>
              <w:bottom w:val="single" w:sz="4" w:space="0" w:color="auto"/>
              <w:right w:val="single" w:sz="4" w:space="0" w:color="auto"/>
            </w:tcBorders>
            <w:shd w:val="clear" w:color="auto" w:fill="auto"/>
            <w:vAlign w:val="center"/>
            <w:hideMark/>
          </w:tcPr>
          <w:p w14:paraId="1849901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2020  </w:t>
            </w:r>
          </w:p>
        </w:tc>
      </w:tr>
      <w:tr w:rsidR="00390427" w:rsidRPr="00390427" w14:paraId="6AEA61AD"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0F9CF6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CAP1.PA.LA08</w:t>
            </w:r>
          </w:p>
        </w:tc>
        <w:tc>
          <w:tcPr>
            <w:tcW w:w="3760" w:type="dxa"/>
            <w:tcBorders>
              <w:top w:val="nil"/>
              <w:left w:val="nil"/>
              <w:bottom w:val="single" w:sz="4" w:space="0" w:color="auto"/>
              <w:right w:val="single" w:sz="4" w:space="0" w:color="auto"/>
            </w:tcBorders>
            <w:shd w:val="clear" w:color="auto" w:fill="auto"/>
            <w:vAlign w:val="center"/>
            <w:hideMark/>
          </w:tcPr>
          <w:p w14:paraId="0A973A8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alimentano il catalogo dei servizi della PA</w:t>
            </w:r>
          </w:p>
        </w:tc>
        <w:tc>
          <w:tcPr>
            <w:tcW w:w="1038" w:type="dxa"/>
            <w:tcBorders>
              <w:top w:val="nil"/>
              <w:left w:val="nil"/>
              <w:bottom w:val="single" w:sz="4" w:space="0" w:color="auto"/>
              <w:right w:val="single" w:sz="4" w:space="0" w:color="auto"/>
            </w:tcBorders>
            <w:shd w:val="clear" w:color="auto" w:fill="auto"/>
            <w:vAlign w:val="center"/>
            <w:hideMark/>
          </w:tcPr>
          <w:p w14:paraId="66AC194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c>
          <w:tcPr>
            <w:tcW w:w="3760" w:type="dxa"/>
            <w:tcBorders>
              <w:top w:val="nil"/>
              <w:left w:val="nil"/>
              <w:bottom w:val="single" w:sz="4" w:space="0" w:color="auto"/>
              <w:right w:val="single" w:sz="4" w:space="0" w:color="auto"/>
            </w:tcBorders>
            <w:shd w:val="clear" w:color="auto" w:fill="auto"/>
            <w:vAlign w:val="center"/>
            <w:hideMark/>
          </w:tcPr>
          <w:p w14:paraId="73531A9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alimentano il catalogo dei servizi della PA</w:t>
            </w:r>
          </w:p>
        </w:tc>
        <w:tc>
          <w:tcPr>
            <w:tcW w:w="1120" w:type="dxa"/>
            <w:tcBorders>
              <w:top w:val="nil"/>
              <w:left w:val="nil"/>
              <w:bottom w:val="single" w:sz="4" w:space="0" w:color="auto"/>
              <w:right w:val="single" w:sz="4" w:space="0" w:color="auto"/>
            </w:tcBorders>
            <w:shd w:val="clear" w:color="auto" w:fill="auto"/>
            <w:vAlign w:val="center"/>
            <w:hideMark/>
          </w:tcPr>
          <w:p w14:paraId="562FE7D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c>
          <w:tcPr>
            <w:tcW w:w="3760" w:type="dxa"/>
            <w:tcBorders>
              <w:top w:val="nil"/>
              <w:left w:val="nil"/>
              <w:bottom w:val="single" w:sz="4" w:space="0" w:color="auto"/>
              <w:right w:val="single" w:sz="4" w:space="0" w:color="auto"/>
            </w:tcBorders>
            <w:shd w:val="clear" w:color="auto" w:fill="auto"/>
            <w:vAlign w:val="center"/>
            <w:hideMark/>
          </w:tcPr>
          <w:p w14:paraId="06DD62E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alimentano il catalogo dei servizi della PA</w:t>
            </w:r>
          </w:p>
        </w:tc>
        <w:tc>
          <w:tcPr>
            <w:tcW w:w="940" w:type="dxa"/>
            <w:tcBorders>
              <w:top w:val="nil"/>
              <w:left w:val="nil"/>
              <w:bottom w:val="single" w:sz="4" w:space="0" w:color="auto"/>
              <w:right w:val="single" w:sz="4" w:space="0" w:color="auto"/>
            </w:tcBorders>
            <w:shd w:val="clear" w:color="auto" w:fill="auto"/>
            <w:vAlign w:val="center"/>
            <w:hideMark/>
          </w:tcPr>
          <w:p w14:paraId="7627AB7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r>
      <w:tr w:rsidR="00390427" w:rsidRPr="00390427" w14:paraId="043B588C"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CB21B8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CAP1.PA.LA09</w:t>
            </w:r>
          </w:p>
        </w:tc>
        <w:tc>
          <w:tcPr>
            <w:tcW w:w="3760" w:type="dxa"/>
            <w:tcBorders>
              <w:top w:val="nil"/>
              <w:left w:val="nil"/>
              <w:bottom w:val="single" w:sz="4" w:space="0" w:color="auto"/>
              <w:right w:val="single" w:sz="4" w:space="0" w:color="auto"/>
            </w:tcBorders>
            <w:shd w:val="clear" w:color="auto" w:fill="auto"/>
            <w:vAlign w:val="center"/>
            <w:hideMark/>
          </w:tcPr>
          <w:p w14:paraId="17D65F9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161CCB2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69AAD86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avviano il percorso di migrazione verso il cloud consultando il manuale di abilitazione al cloud nell’ambito del relativo programma</w:t>
            </w:r>
          </w:p>
        </w:tc>
        <w:tc>
          <w:tcPr>
            <w:tcW w:w="1120" w:type="dxa"/>
            <w:tcBorders>
              <w:top w:val="nil"/>
              <w:left w:val="nil"/>
              <w:bottom w:val="single" w:sz="4" w:space="0" w:color="auto"/>
              <w:right w:val="single" w:sz="4" w:space="0" w:color="auto"/>
            </w:tcBorders>
            <w:shd w:val="clear" w:color="auto" w:fill="auto"/>
            <w:vAlign w:val="center"/>
            <w:hideMark/>
          </w:tcPr>
          <w:p w14:paraId="5A3CF8E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ottobre 2021 (in corso)  </w:t>
            </w:r>
          </w:p>
        </w:tc>
        <w:tc>
          <w:tcPr>
            <w:tcW w:w="3760" w:type="dxa"/>
            <w:tcBorders>
              <w:top w:val="nil"/>
              <w:left w:val="nil"/>
              <w:bottom w:val="single" w:sz="4" w:space="0" w:color="auto"/>
              <w:right w:val="single" w:sz="4" w:space="0" w:color="auto"/>
            </w:tcBorders>
            <w:shd w:val="clear" w:color="auto" w:fill="auto"/>
            <w:vAlign w:val="center"/>
            <w:hideMark/>
          </w:tcPr>
          <w:p w14:paraId="7026928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avviano il percorso di migrazione verso il cloud in coerenza con quanto previsto dalla Strategia Cloud Italia</w:t>
            </w:r>
          </w:p>
        </w:tc>
        <w:tc>
          <w:tcPr>
            <w:tcW w:w="940" w:type="dxa"/>
            <w:tcBorders>
              <w:top w:val="nil"/>
              <w:left w:val="nil"/>
              <w:bottom w:val="single" w:sz="4" w:space="0" w:color="auto"/>
              <w:right w:val="single" w:sz="8" w:space="0" w:color="auto"/>
            </w:tcBorders>
            <w:shd w:val="clear" w:color="auto" w:fill="auto"/>
            <w:vAlign w:val="center"/>
            <w:hideMark/>
          </w:tcPr>
          <w:p w14:paraId="12D1587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3BE18D87"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3C0B6B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CAP1.PA.LA10</w:t>
            </w:r>
          </w:p>
        </w:tc>
        <w:tc>
          <w:tcPr>
            <w:tcW w:w="3760" w:type="dxa"/>
            <w:tcBorders>
              <w:top w:val="nil"/>
              <w:left w:val="nil"/>
              <w:bottom w:val="single" w:sz="4" w:space="0" w:color="auto"/>
              <w:right w:val="single" w:sz="4" w:space="0" w:color="auto"/>
            </w:tcBorders>
            <w:shd w:val="clear" w:color="auto" w:fill="auto"/>
            <w:vAlign w:val="center"/>
            <w:hideMark/>
          </w:tcPr>
          <w:p w14:paraId="432F869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114B3A8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E11278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amministrazioni coinvolte nell’attuazione nazionale del Regolamento sul Single Digital Gateway attivano Web Analytics Italia per tutte le pagine da loro referenziate sul link repository europeo</w:t>
            </w:r>
          </w:p>
        </w:tc>
        <w:tc>
          <w:tcPr>
            <w:tcW w:w="1120" w:type="dxa"/>
            <w:tcBorders>
              <w:top w:val="nil"/>
              <w:left w:val="nil"/>
              <w:bottom w:val="single" w:sz="4" w:space="0" w:color="auto"/>
              <w:right w:val="single" w:sz="4" w:space="0" w:color="auto"/>
            </w:tcBorders>
            <w:shd w:val="clear" w:color="auto" w:fill="auto"/>
            <w:vAlign w:val="center"/>
            <w:hideMark/>
          </w:tcPr>
          <w:p w14:paraId="43275C9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2022 </w:t>
            </w:r>
          </w:p>
        </w:tc>
        <w:tc>
          <w:tcPr>
            <w:tcW w:w="3760" w:type="dxa"/>
            <w:tcBorders>
              <w:top w:val="nil"/>
              <w:left w:val="nil"/>
              <w:bottom w:val="single" w:sz="4" w:space="0" w:color="auto"/>
              <w:right w:val="single" w:sz="4" w:space="0" w:color="auto"/>
            </w:tcBorders>
            <w:shd w:val="clear" w:color="auto" w:fill="auto"/>
            <w:vAlign w:val="center"/>
            <w:hideMark/>
          </w:tcPr>
          <w:p w14:paraId="5818A75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amministrazioni coinvolte nell’attuazione nazionale del Regolamento sul Single Digital Gateway attivano Web Analytics Italia per tutte le pagine da loro referenziate sul link repository europeo</w:t>
            </w:r>
          </w:p>
        </w:tc>
        <w:tc>
          <w:tcPr>
            <w:tcW w:w="940" w:type="dxa"/>
            <w:tcBorders>
              <w:top w:val="nil"/>
              <w:left w:val="nil"/>
              <w:bottom w:val="single" w:sz="4" w:space="0" w:color="auto"/>
              <w:right w:val="single" w:sz="8" w:space="0" w:color="auto"/>
            </w:tcBorders>
            <w:shd w:val="clear" w:color="auto" w:fill="auto"/>
            <w:vAlign w:val="center"/>
            <w:hideMark/>
          </w:tcPr>
          <w:p w14:paraId="44D85FD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2022 </w:t>
            </w:r>
          </w:p>
        </w:tc>
      </w:tr>
      <w:tr w:rsidR="00390427" w:rsidRPr="00390427" w14:paraId="05112CAE"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6FF466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CAP1.PA.LA12</w:t>
            </w:r>
          </w:p>
        </w:tc>
        <w:tc>
          <w:tcPr>
            <w:tcW w:w="3760" w:type="dxa"/>
            <w:tcBorders>
              <w:top w:val="nil"/>
              <w:left w:val="nil"/>
              <w:bottom w:val="single" w:sz="4" w:space="0" w:color="auto"/>
              <w:right w:val="single" w:sz="4" w:space="0" w:color="auto"/>
            </w:tcBorders>
            <w:shd w:val="clear" w:color="auto" w:fill="auto"/>
            <w:vAlign w:val="center"/>
            <w:hideMark/>
          </w:tcPr>
          <w:p w14:paraId="1A3C35B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Nei procedimenti di acquisizione di beni e servizi ICT, le PA devono far riferimento alle Linee guida di design</w:t>
            </w:r>
          </w:p>
        </w:tc>
        <w:tc>
          <w:tcPr>
            <w:tcW w:w="1038" w:type="dxa"/>
            <w:tcBorders>
              <w:top w:val="nil"/>
              <w:left w:val="nil"/>
              <w:bottom w:val="single" w:sz="4" w:space="0" w:color="auto"/>
              <w:right w:val="single" w:sz="4" w:space="0" w:color="auto"/>
            </w:tcBorders>
            <w:shd w:val="clear" w:color="auto" w:fill="auto"/>
            <w:vAlign w:val="center"/>
            <w:hideMark/>
          </w:tcPr>
          <w:p w14:paraId="12E5304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w:t>
            </w:r>
          </w:p>
        </w:tc>
        <w:tc>
          <w:tcPr>
            <w:tcW w:w="3760" w:type="dxa"/>
            <w:tcBorders>
              <w:top w:val="nil"/>
              <w:left w:val="nil"/>
              <w:bottom w:val="single" w:sz="4" w:space="0" w:color="auto"/>
              <w:right w:val="single" w:sz="4" w:space="0" w:color="auto"/>
            </w:tcBorders>
            <w:shd w:val="clear" w:color="auto" w:fill="auto"/>
            <w:vAlign w:val="center"/>
            <w:hideMark/>
          </w:tcPr>
          <w:p w14:paraId="7D78FCBC"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Nei procedimenti di acquisizione di beni e servizi ICT, le PA devono far riferimento alle Linee guida di design</w:t>
            </w:r>
          </w:p>
        </w:tc>
        <w:tc>
          <w:tcPr>
            <w:tcW w:w="1120" w:type="dxa"/>
            <w:tcBorders>
              <w:top w:val="nil"/>
              <w:left w:val="nil"/>
              <w:bottom w:val="single" w:sz="4" w:space="0" w:color="auto"/>
              <w:right w:val="single" w:sz="4" w:space="0" w:color="auto"/>
            </w:tcBorders>
            <w:shd w:val="clear" w:color="auto" w:fill="auto"/>
            <w:vAlign w:val="center"/>
            <w:hideMark/>
          </w:tcPr>
          <w:p w14:paraId="2584B14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w:t>
            </w:r>
          </w:p>
        </w:tc>
        <w:tc>
          <w:tcPr>
            <w:tcW w:w="3760" w:type="dxa"/>
            <w:tcBorders>
              <w:top w:val="nil"/>
              <w:left w:val="nil"/>
              <w:bottom w:val="single" w:sz="4" w:space="0" w:color="auto"/>
              <w:right w:val="single" w:sz="4" w:space="0" w:color="auto"/>
            </w:tcBorders>
            <w:shd w:val="clear" w:color="auto" w:fill="auto"/>
            <w:vAlign w:val="center"/>
            <w:hideMark/>
          </w:tcPr>
          <w:p w14:paraId="6E92E4A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Nei procedimenti di acquisizione di beni e servizi ICT, le PA devono far riferimento alle Linee guida di design</w:t>
            </w:r>
          </w:p>
        </w:tc>
        <w:tc>
          <w:tcPr>
            <w:tcW w:w="940" w:type="dxa"/>
            <w:tcBorders>
              <w:top w:val="nil"/>
              <w:left w:val="nil"/>
              <w:bottom w:val="single" w:sz="4" w:space="0" w:color="auto"/>
              <w:right w:val="single" w:sz="4" w:space="0" w:color="auto"/>
            </w:tcBorders>
            <w:shd w:val="clear" w:color="auto" w:fill="auto"/>
            <w:vAlign w:val="center"/>
            <w:hideMark/>
          </w:tcPr>
          <w:p w14:paraId="145B13B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w:t>
            </w:r>
          </w:p>
        </w:tc>
      </w:tr>
      <w:tr w:rsidR="00390427" w:rsidRPr="00390427" w14:paraId="1AAEFF87" w14:textId="77777777" w:rsidTr="00A51B5D">
        <w:trPr>
          <w:trHeight w:val="315"/>
        </w:trPr>
        <w:tc>
          <w:tcPr>
            <w:tcW w:w="15461"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988A857"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lang w:eastAsia="it-IT"/>
              </w:rPr>
            </w:pPr>
            <w:r w:rsidRPr="00390427">
              <w:rPr>
                <w:rFonts w:ascii="Calibri" w:eastAsia="Times New Roman" w:hAnsi="Calibri" w:cs="Calibri"/>
                <w:b/>
                <w:bCs/>
                <w:color w:val="000000"/>
                <w:lang w:eastAsia="it-IT"/>
              </w:rPr>
              <w:t>Linea d'Azione</w:t>
            </w:r>
          </w:p>
        </w:tc>
      </w:tr>
      <w:tr w:rsidR="00390427" w:rsidRPr="00390427" w14:paraId="4ABDB078" w14:textId="77777777" w:rsidTr="00A51B5D">
        <w:trPr>
          <w:trHeight w:val="315"/>
        </w:trPr>
        <w:tc>
          <w:tcPr>
            <w:tcW w:w="1080" w:type="dxa"/>
            <w:vMerge w:val="restart"/>
            <w:tcBorders>
              <w:top w:val="nil"/>
              <w:left w:val="single" w:sz="8" w:space="0" w:color="auto"/>
              <w:bottom w:val="single" w:sz="8" w:space="0" w:color="000000"/>
              <w:right w:val="single" w:sz="4" w:space="0" w:color="auto"/>
            </w:tcBorders>
            <w:shd w:val="clear" w:color="auto" w:fill="auto"/>
            <w:vAlign w:val="center"/>
            <w:hideMark/>
          </w:tcPr>
          <w:p w14:paraId="468DA36D"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lastRenderedPageBreak/>
              <w:t xml:space="preserve">Obiettivo </w:t>
            </w:r>
            <w:r w:rsidRPr="00390427">
              <w:rPr>
                <w:rFonts w:ascii="Calibri" w:eastAsia="Times New Roman" w:hAnsi="Calibri" w:cs="Calibri"/>
                <w:b/>
                <w:bCs/>
                <w:color w:val="000000"/>
                <w:sz w:val="18"/>
                <w:szCs w:val="18"/>
                <w:lang w:eastAsia="it-IT"/>
              </w:rPr>
              <w:br/>
              <w:t>L.A.</w:t>
            </w:r>
          </w:p>
        </w:tc>
        <w:tc>
          <w:tcPr>
            <w:tcW w:w="4798" w:type="dxa"/>
            <w:gridSpan w:val="2"/>
            <w:tcBorders>
              <w:top w:val="single" w:sz="4" w:space="0" w:color="auto"/>
              <w:left w:val="nil"/>
              <w:bottom w:val="single" w:sz="4" w:space="0" w:color="auto"/>
              <w:right w:val="nil"/>
            </w:tcBorders>
            <w:shd w:val="clear" w:color="auto" w:fill="auto"/>
            <w:vAlign w:val="center"/>
            <w:hideMark/>
          </w:tcPr>
          <w:p w14:paraId="42C36E14"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1° Piano 2020-2022</w:t>
            </w:r>
          </w:p>
        </w:tc>
        <w:tc>
          <w:tcPr>
            <w:tcW w:w="4880" w:type="dxa"/>
            <w:gridSpan w:val="2"/>
            <w:tcBorders>
              <w:top w:val="single" w:sz="4" w:space="0" w:color="auto"/>
              <w:left w:val="single" w:sz="4" w:space="0" w:color="auto"/>
              <w:bottom w:val="single" w:sz="4" w:space="0" w:color="auto"/>
              <w:right w:val="nil"/>
            </w:tcBorders>
            <w:shd w:val="clear" w:color="auto" w:fill="auto"/>
            <w:vAlign w:val="center"/>
            <w:hideMark/>
          </w:tcPr>
          <w:p w14:paraId="5E62DB2B"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2° Piano 2021-2023</w:t>
            </w:r>
          </w:p>
        </w:tc>
        <w:tc>
          <w:tcPr>
            <w:tcW w:w="4700"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14:paraId="117EDBAA"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3° Piano 2020-2024</w:t>
            </w:r>
          </w:p>
        </w:tc>
      </w:tr>
      <w:tr w:rsidR="00390427" w:rsidRPr="00390427" w14:paraId="50AC784E" w14:textId="77777777" w:rsidTr="00A51B5D">
        <w:trPr>
          <w:trHeight w:val="495"/>
        </w:trPr>
        <w:tc>
          <w:tcPr>
            <w:tcW w:w="1080" w:type="dxa"/>
            <w:vMerge/>
            <w:tcBorders>
              <w:top w:val="nil"/>
              <w:left w:val="single" w:sz="8" w:space="0" w:color="auto"/>
              <w:bottom w:val="single" w:sz="8" w:space="0" w:color="000000"/>
              <w:right w:val="single" w:sz="4" w:space="0" w:color="auto"/>
            </w:tcBorders>
            <w:vAlign w:val="center"/>
            <w:hideMark/>
          </w:tcPr>
          <w:p w14:paraId="6A27CFC5" w14:textId="77777777" w:rsidR="00390427" w:rsidRPr="00390427" w:rsidRDefault="00390427"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p>
        </w:tc>
        <w:tc>
          <w:tcPr>
            <w:tcW w:w="3760" w:type="dxa"/>
            <w:tcBorders>
              <w:top w:val="nil"/>
              <w:left w:val="nil"/>
              <w:bottom w:val="single" w:sz="8" w:space="0" w:color="auto"/>
              <w:right w:val="single" w:sz="4" w:space="0" w:color="auto"/>
            </w:tcBorders>
            <w:shd w:val="clear" w:color="auto" w:fill="auto"/>
            <w:vAlign w:val="center"/>
            <w:hideMark/>
          </w:tcPr>
          <w:p w14:paraId="145AB327"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038" w:type="dxa"/>
            <w:tcBorders>
              <w:top w:val="nil"/>
              <w:left w:val="nil"/>
              <w:bottom w:val="single" w:sz="8" w:space="0" w:color="auto"/>
              <w:right w:val="single" w:sz="4" w:space="0" w:color="auto"/>
            </w:tcBorders>
            <w:shd w:val="clear" w:color="auto" w:fill="auto"/>
            <w:vAlign w:val="center"/>
            <w:hideMark/>
          </w:tcPr>
          <w:p w14:paraId="769798EF"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30D30AC0"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20" w:type="dxa"/>
            <w:tcBorders>
              <w:top w:val="nil"/>
              <w:left w:val="nil"/>
              <w:bottom w:val="single" w:sz="8" w:space="0" w:color="auto"/>
              <w:right w:val="single" w:sz="4" w:space="0" w:color="auto"/>
            </w:tcBorders>
            <w:shd w:val="clear" w:color="auto" w:fill="auto"/>
            <w:vAlign w:val="center"/>
            <w:hideMark/>
          </w:tcPr>
          <w:p w14:paraId="2B504064"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40C31199"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940" w:type="dxa"/>
            <w:tcBorders>
              <w:top w:val="nil"/>
              <w:left w:val="nil"/>
              <w:bottom w:val="single" w:sz="8" w:space="0" w:color="auto"/>
              <w:right w:val="single" w:sz="8" w:space="0" w:color="auto"/>
            </w:tcBorders>
            <w:shd w:val="clear" w:color="auto" w:fill="auto"/>
            <w:vAlign w:val="center"/>
            <w:hideMark/>
          </w:tcPr>
          <w:p w14:paraId="1686E92F"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r>
      <w:tr w:rsidR="00390427" w:rsidRPr="00390427" w14:paraId="100FE6E8"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EEBBBB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CAP1.PA.LA13</w:t>
            </w:r>
          </w:p>
        </w:tc>
        <w:tc>
          <w:tcPr>
            <w:tcW w:w="3760" w:type="dxa"/>
            <w:tcBorders>
              <w:top w:val="nil"/>
              <w:left w:val="nil"/>
              <w:bottom w:val="single" w:sz="4" w:space="0" w:color="auto"/>
              <w:right w:val="single" w:sz="4" w:space="0" w:color="auto"/>
            </w:tcBorders>
            <w:shd w:val="clear" w:color="auto" w:fill="auto"/>
            <w:vAlign w:val="center"/>
            <w:hideMark/>
          </w:tcPr>
          <w:p w14:paraId="348D57A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comunicano ad AGID, tramite apposito form online, l’esito dei test di usabilità del proprio sito istituzionale</w:t>
            </w:r>
          </w:p>
        </w:tc>
        <w:tc>
          <w:tcPr>
            <w:tcW w:w="1038" w:type="dxa"/>
            <w:tcBorders>
              <w:top w:val="nil"/>
              <w:left w:val="nil"/>
              <w:bottom w:val="single" w:sz="4" w:space="0" w:color="auto"/>
              <w:right w:val="single" w:sz="4" w:space="0" w:color="auto"/>
            </w:tcBorders>
            <w:shd w:val="clear" w:color="auto" w:fill="auto"/>
            <w:vAlign w:val="center"/>
            <w:hideMark/>
          </w:tcPr>
          <w:p w14:paraId="2D67E14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w:t>
            </w:r>
          </w:p>
        </w:tc>
        <w:tc>
          <w:tcPr>
            <w:tcW w:w="3760" w:type="dxa"/>
            <w:tcBorders>
              <w:top w:val="nil"/>
              <w:left w:val="nil"/>
              <w:bottom w:val="single" w:sz="4" w:space="0" w:color="auto"/>
              <w:right w:val="single" w:sz="4" w:space="0" w:color="auto"/>
            </w:tcBorders>
            <w:shd w:val="clear" w:color="auto" w:fill="auto"/>
            <w:vAlign w:val="center"/>
            <w:hideMark/>
          </w:tcPr>
          <w:p w14:paraId="053B460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effettuano test di usabilità e possono comunicare ad AGID, tramite l’applicazione form.agid.gov.it, l’esito dei test di usabilità del proprio sito istituzionale</w:t>
            </w:r>
          </w:p>
        </w:tc>
        <w:tc>
          <w:tcPr>
            <w:tcW w:w="1120" w:type="dxa"/>
            <w:tcBorders>
              <w:top w:val="nil"/>
              <w:left w:val="nil"/>
              <w:bottom w:val="single" w:sz="4" w:space="0" w:color="auto"/>
              <w:right w:val="single" w:sz="4" w:space="0" w:color="auto"/>
            </w:tcBorders>
            <w:shd w:val="clear" w:color="auto" w:fill="auto"/>
            <w:vAlign w:val="center"/>
            <w:hideMark/>
          </w:tcPr>
          <w:p w14:paraId="4DFB3CF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c>
          <w:tcPr>
            <w:tcW w:w="3760" w:type="dxa"/>
            <w:tcBorders>
              <w:top w:val="nil"/>
              <w:left w:val="nil"/>
              <w:bottom w:val="single" w:sz="4" w:space="0" w:color="auto"/>
              <w:right w:val="single" w:sz="4" w:space="0" w:color="auto"/>
            </w:tcBorders>
            <w:shd w:val="clear" w:color="auto" w:fill="auto"/>
            <w:vAlign w:val="center"/>
            <w:hideMark/>
          </w:tcPr>
          <w:p w14:paraId="3A5E73D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effettuano test di usabilità e possono comunicare ad AGID, tramite l’applicazione form.agid.gov.it, l’esito dei test di usabilità del proprio sito istituzionale</w:t>
            </w:r>
          </w:p>
        </w:tc>
        <w:tc>
          <w:tcPr>
            <w:tcW w:w="940" w:type="dxa"/>
            <w:tcBorders>
              <w:top w:val="nil"/>
              <w:left w:val="nil"/>
              <w:bottom w:val="single" w:sz="4" w:space="0" w:color="auto"/>
              <w:right w:val="single" w:sz="8" w:space="0" w:color="auto"/>
            </w:tcBorders>
            <w:shd w:val="clear" w:color="auto" w:fill="auto"/>
            <w:vAlign w:val="center"/>
            <w:hideMark/>
          </w:tcPr>
          <w:p w14:paraId="548F147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75F11819"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4D19FA1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CAP1.PA.LA14</w:t>
            </w:r>
          </w:p>
        </w:tc>
        <w:tc>
          <w:tcPr>
            <w:tcW w:w="3760" w:type="dxa"/>
            <w:tcBorders>
              <w:top w:val="nil"/>
              <w:left w:val="nil"/>
              <w:bottom w:val="single" w:sz="4" w:space="0" w:color="auto"/>
              <w:right w:val="single" w:sz="4" w:space="0" w:color="auto"/>
            </w:tcBorders>
            <w:shd w:val="clear" w:color="auto" w:fill="auto"/>
            <w:vAlign w:val="center"/>
            <w:hideMark/>
          </w:tcPr>
          <w:p w14:paraId="789B4952"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pubblicano, entro il 23 settembre 2020, tramite l’applicazione form.agid.gov.it, una dichiarazione di accessibilità per ciascuno dei loro i siti web</w:t>
            </w:r>
          </w:p>
        </w:tc>
        <w:tc>
          <w:tcPr>
            <w:tcW w:w="1038" w:type="dxa"/>
            <w:tcBorders>
              <w:top w:val="nil"/>
              <w:left w:val="nil"/>
              <w:bottom w:val="single" w:sz="4" w:space="0" w:color="auto"/>
              <w:right w:val="single" w:sz="4" w:space="0" w:color="auto"/>
            </w:tcBorders>
            <w:shd w:val="clear" w:color="auto" w:fill="auto"/>
            <w:vAlign w:val="center"/>
            <w:hideMark/>
          </w:tcPr>
          <w:p w14:paraId="7858C53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settembre 2020 </w:t>
            </w:r>
          </w:p>
        </w:tc>
        <w:tc>
          <w:tcPr>
            <w:tcW w:w="3760" w:type="dxa"/>
            <w:tcBorders>
              <w:top w:val="nil"/>
              <w:left w:val="nil"/>
              <w:bottom w:val="single" w:sz="4" w:space="0" w:color="auto"/>
              <w:right w:val="single" w:sz="4" w:space="0" w:color="auto"/>
            </w:tcBorders>
            <w:shd w:val="clear" w:color="auto" w:fill="auto"/>
            <w:vAlign w:val="center"/>
            <w:hideMark/>
          </w:tcPr>
          <w:p w14:paraId="009408D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pubblicano, entro il 23 settembre 2020, tramite l’applicazione form.agid.gov.it, una dichiarazione di accessibilità per ciascuno dei loro i siti web</w:t>
            </w:r>
          </w:p>
        </w:tc>
        <w:tc>
          <w:tcPr>
            <w:tcW w:w="1120" w:type="dxa"/>
            <w:tcBorders>
              <w:top w:val="nil"/>
              <w:left w:val="nil"/>
              <w:bottom w:val="single" w:sz="4" w:space="0" w:color="auto"/>
              <w:right w:val="single" w:sz="4" w:space="0" w:color="auto"/>
            </w:tcBorders>
            <w:shd w:val="clear" w:color="auto" w:fill="auto"/>
            <w:vAlign w:val="center"/>
            <w:hideMark/>
          </w:tcPr>
          <w:p w14:paraId="4A23B27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settembre 2020 </w:t>
            </w:r>
          </w:p>
        </w:tc>
        <w:tc>
          <w:tcPr>
            <w:tcW w:w="3760" w:type="dxa"/>
            <w:tcBorders>
              <w:top w:val="nil"/>
              <w:left w:val="nil"/>
              <w:bottom w:val="single" w:sz="4" w:space="0" w:color="auto"/>
              <w:right w:val="single" w:sz="4" w:space="0" w:color="auto"/>
            </w:tcBorders>
            <w:shd w:val="clear" w:color="auto" w:fill="auto"/>
            <w:vAlign w:val="center"/>
            <w:hideMark/>
          </w:tcPr>
          <w:p w14:paraId="568245F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pubblicano, entro il 23 settembre 2020, tramite l’applicazione form.agid.gov.it, una dichiarazione di accessibilità per ciascuno dei loro i siti web</w:t>
            </w:r>
          </w:p>
        </w:tc>
        <w:tc>
          <w:tcPr>
            <w:tcW w:w="940" w:type="dxa"/>
            <w:tcBorders>
              <w:top w:val="nil"/>
              <w:left w:val="nil"/>
              <w:bottom w:val="single" w:sz="4" w:space="0" w:color="auto"/>
              <w:right w:val="single" w:sz="4" w:space="0" w:color="auto"/>
            </w:tcBorders>
            <w:shd w:val="clear" w:color="auto" w:fill="auto"/>
            <w:vAlign w:val="center"/>
            <w:hideMark/>
          </w:tcPr>
          <w:p w14:paraId="5EC2E5A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settembre 2020 </w:t>
            </w:r>
          </w:p>
        </w:tc>
      </w:tr>
      <w:tr w:rsidR="00390427" w:rsidRPr="00390427" w14:paraId="38F8A470"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D366E8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CAP1.PA.LA15</w:t>
            </w:r>
          </w:p>
        </w:tc>
        <w:tc>
          <w:tcPr>
            <w:tcW w:w="3760" w:type="dxa"/>
            <w:tcBorders>
              <w:top w:val="nil"/>
              <w:left w:val="nil"/>
              <w:bottom w:val="single" w:sz="4" w:space="0" w:color="auto"/>
              <w:right w:val="single" w:sz="4" w:space="0" w:color="auto"/>
            </w:tcBorders>
            <w:shd w:val="clear" w:color="auto" w:fill="auto"/>
            <w:vAlign w:val="center"/>
            <w:hideMark/>
          </w:tcPr>
          <w:p w14:paraId="6C3AAC7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PAC coinvolte nell’erogazione delle informazioni, previste dall’allegato 1 del Regolamento europeo 2018/1724 sul Single Digital Gateway, pubblicano le informazioni di propria competenza</w:t>
            </w:r>
          </w:p>
        </w:tc>
        <w:tc>
          <w:tcPr>
            <w:tcW w:w="1038" w:type="dxa"/>
            <w:tcBorders>
              <w:top w:val="nil"/>
              <w:left w:val="nil"/>
              <w:bottom w:val="single" w:sz="4" w:space="0" w:color="auto"/>
              <w:right w:val="single" w:sz="4" w:space="0" w:color="auto"/>
            </w:tcBorders>
            <w:shd w:val="clear" w:color="auto" w:fill="auto"/>
            <w:vAlign w:val="center"/>
            <w:hideMark/>
          </w:tcPr>
          <w:p w14:paraId="21F774B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c>
          <w:tcPr>
            <w:tcW w:w="3760" w:type="dxa"/>
            <w:tcBorders>
              <w:top w:val="nil"/>
              <w:left w:val="nil"/>
              <w:bottom w:val="single" w:sz="4" w:space="0" w:color="auto"/>
              <w:right w:val="single" w:sz="4" w:space="0" w:color="auto"/>
            </w:tcBorders>
            <w:shd w:val="clear" w:color="auto" w:fill="auto"/>
            <w:vAlign w:val="center"/>
            <w:hideMark/>
          </w:tcPr>
          <w:p w14:paraId="2D45C43C"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PAC coinvolte nell’erogazione delle informazioni, previste dall’allegato 1 del Regolamento europeo 2018/1724 sul Single Digital Gateway, pubblicano le informazioni di propria competenza</w:t>
            </w:r>
          </w:p>
        </w:tc>
        <w:tc>
          <w:tcPr>
            <w:tcW w:w="1120" w:type="dxa"/>
            <w:tcBorders>
              <w:top w:val="nil"/>
              <w:left w:val="nil"/>
              <w:bottom w:val="single" w:sz="4" w:space="0" w:color="auto"/>
              <w:right w:val="single" w:sz="4" w:space="0" w:color="auto"/>
            </w:tcBorders>
            <w:shd w:val="clear" w:color="auto" w:fill="auto"/>
            <w:vAlign w:val="center"/>
            <w:hideMark/>
          </w:tcPr>
          <w:p w14:paraId="6886024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c>
          <w:tcPr>
            <w:tcW w:w="3760" w:type="dxa"/>
            <w:tcBorders>
              <w:top w:val="nil"/>
              <w:left w:val="nil"/>
              <w:bottom w:val="single" w:sz="4" w:space="0" w:color="auto"/>
              <w:right w:val="single" w:sz="4" w:space="0" w:color="auto"/>
            </w:tcBorders>
            <w:shd w:val="clear" w:color="auto" w:fill="auto"/>
            <w:vAlign w:val="center"/>
            <w:hideMark/>
          </w:tcPr>
          <w:p w14:paraId="7811EE0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PAC coinvolte nell’erogazione delle informazioni, previste dall’allegato 1 del Regolamento europeo 2018/1724 sul Single Digital Gateway, pubblicano le informazioni di propria competenza</w:t>
            </w:r>
          </w:p>
        </w:tc>
        <w:tc>
          <w:tcPr>
            <w:tcW w:w="940" w:type="dxa"/>
            <w:tcBorders>
              <w:top w:val="nil"/>
              <w:left w:val="nil"/>
              <w:bottom w:val="single" w:sz="4" w:space="0" w:color="auto"/>
              <w:right w:val="single" w:sz="4" w:space="0" w:color="auto"/>
            </w:tcBorders>
            <w:shd w:val="clear" w:color="auto" w:fill="auto"/>
            <w:vAlign w:val="center"/>
            <w:hideMark/>
          </w:tcPr>
          <w:p w14:paraId="62E6528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r>
      <w:tr w:rsidR="00390427" w:rsidRPr="00390427" w14:paraId="5E237640"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5C93AA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CAP1.PA.LA16</w:t>
            </w:r>
          </w:p>
        </w:tc>
        <w:tc>
          <w:tcPr>
            <w:tcW w:w="3760" w:type="dxa"/>
            <w:tcBorders>
              <w:top w:val="nil"/>
              <w:left w:val="nil"/>
              <w:bottom w:val="single" w:sz="4" w:space="0" w:color="auto"/>
              <w:right w:val="single" w:sz="4" w:space="0" w:color="auto"/>
            </w:tcBorders>
            <w:shd w:val="clear" w:color="auto" w:fill="auto"/>
            <w:vAlign w:val="center"/>
            <w:hideMark/>
          </w:tcPr>
          <w:p w14:paraId="03DBC39B"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pubblicare gli obiettivi di accessibilità sul proprio sito</w:t>
            </w:r>
          </w:p>
        </w:tc>
        <w:tc>
          <w:tcPr>
            <w:tcW w:w="1038" w:type="dxa"/>
            <w:tcBorders>
              <w:top w:val="nil"/>
              <w:left w:val="nil"/>
              <w:bottom w:val="single" w:sz="4" w:space="0" w:color="auto"/>
              <w:right w:val="single" w:sz="4" w:space="0" w:color="auto"/>
            </w:tcBorders>
            <w:shd w:val="clear" w:color="auto" w:fill="auto"/>
            <w:vAlign w:val="center"/>
            <w:hideMark/>
          </w:tcPr>
          <w:p w14:paraId="20EBC7D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marzo 2021 </w:t>
            </w:r>
          </w:p>
        </w:tc>
        <w:tc>
          <w:tcPr>
            <w:tcW w:w="3760" w:type="dxa"/>
            <w:tcBorders>
              <w:top w:val="nil"/>
              <w:left w:val="nil"/>
              <w:bottom w:val="single" w:sz="4" w:space="0" w:color="auto"/>
              <w:right w:val="single" w:sz="4" w:space="0" w:color="auto"/>
            </w:tcBorders>
            <w:shd w:val="clear" w:color="auto" w:fill="auto"/>
            <w:vAlign w:val="center"/>
            <w:hideMark/>
          </w:tcPr>
          <w:p w14:paraId="105EFF6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pubblicare gli obiettivi di accessibilità sul proprio sito</w:t>
            </w:r>
          </w:p>
        </w:tc>
        <w:tc>
          <w:tcPr>
            <w:tcW w:w="1120" w:type="dxa"/>
            <w:tcBorders>
              <w:top w:val="nil"/>
              <w:left w:val="nil"/>
              <w:bottom w:val="single" w:sz="4" w:space="0" w:color="auto"/>
              <w:right w:val="single" w:sz="4" w:space="0" w:color="auto"/>
            </w:tcBorders>
            <w:shd w:val="clear" w:color="auto" w:fill="auto"/>
            <w:vAlign w:val="center"/>
            <w:hideMark/>
          </w:tcPr>
          <w:p w14:paraId="2778693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marzo 2021 </w:t>
            </w:r>
          </w:p>
        </w:tc>
        <w:tc>
          <w:tcPr>
            <w:tcW w:w="3760" w:type="dxa"/>
            <w:tcBorders>
              <w:top w:val="nil"/>
              <w:left w:val="nil"/>
              <w:bottom w:val="single" w:sz="4" w:space="0" w:color="auto"/>
              <w:right w:val="single" w:sz="4" w:space="0" w:color="auto"/>
            </w:tcBorders>
            <w:shd w:val="clear" w:color="auto" w:fill="auto"/>
            <w:vAlign w:val="center"/>
            <w:hideMark/>
          </w:tcPr>
          <w:p w14:paraId="5168F3D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pubblicare gli obiettivi di accessibilità sul proprio sito</w:t>
            </w:r>
          </w:p>
        </w:tc>
        <w:tc>
          <w:tcPr>
            <w:tcW w:w="940" w:type="dxa"/>
            <w:tcBorders>
              <w:top w:val="nil"/>
              <w:left w:val="nil"/>
              <w:bottom w:val="single" w:sz="4" w:space="0" w:color="auto"/>
              <w:right w:val="single" w:sz="4" w:space="0" w:color="auto"/>
            </w:tcBorders>
            <w:shd w:val="clear" w:color="auto" w:fill="auto"/>
            <w:vAlign w:val="center"/>
            <w:hideMark/>
          </w:tcPr>
          <w:p w14:paraId="425F53E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marzo 2021 </w:t>
            </w:r>
          </w:p>
        </w:tc>
      </w:tr>
      <w:tr w:rsidR="00390427" w:rsidRPr="00390427" w14:paraId="3ADECEDC"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117C563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CAP1.PA.LA17</w:t>
            </w:r>
          </w:p>
        </w:tc>
        <w:tc>
          <w:tcPr>
            <w:tcW w:w="3760" w:type="dxa"/>
            <w:tcBorders>
              <w:top w:val="nil"/>
              <w:left w:val="nil"/>
              <w:bottom w:val="single" w:sz="4" w:space="0" w:color="auto"/>
              <w:right w:val="single" w:sz="4" w:space="0" w:color="auto"/>
            </w:tcBorders>
            <w:shd w:val="clear" w:color="auto" w:fill="auto"/>
            <w:vAlign w:val="center"/>
            <w:hideMark/>
          </w:tcPr>
          <w:p w14:paraId="6A040AB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comunicano ad AGID, tramite apposito form online, l’uso dei modelli per lo sviluppo web per i propri siti istituzionali</w:t>
            </w:r>
          </w:p>
        </w:tc>
        <w:tc>
          <w:tcPr>
            <w:tcW w:w="1038" w:type="dxa"/>
            <w:tcBorders>
              <w:top w:val="nil"/>
              <w:left w:val="nil"/>
              <w:bottom w:val="single" w:sz="4" w:space="0" w:color="auto"/>
              <w:right w:val="single" w:sz="4" w:space="0" w:color="auto"/>
            </w:tcBorders>
            <w:shd w:val="clear" w:color="auto" w:fill="auto"/>
            <w:vAlign w:val="center"/>
            <w:hideMark/>
          </w:tcPr>
          <w:p w14:paraId="381CEC8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aprile 2021  </w:t>
            </w:r>
          </w:p>
        </w:tc>
        <w:tc>
          <w:tcPr>
            <w:tcW w:w="3760" w:type="dxa"/>
            <w:tcBorders>
              <w:top w:val="nil"/>
              <w:left w:val="nil"/>
              <w:bottom w:val="single" w:sz="4" w:space="0" w:color="auto"/>
              <w:right w:val="single" w:sz="4" w:space="0" w:color="auto"/>
            </w:tcBorders>
            <w:shd w:val="clear" w:color="auto" w:fill="auto"/>
            <w:vAlign w:val="center"/>
            <w:hideMark/>
          </w:tcPr>
          <w:p w14:paraId="48AB825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comunicano ad AGID, tramite apposito form online, l’uso dei modelli per lo sviluppo web per i propri siti istituzionali</w:t>
            </w:r>
          </w:p>
        </w:tc>
        <w:tc>
          <w:tcPr>
            <w:tcW w:w="1120" w:type="dxa"/>
            <w:tcBorders>
              <w:top w:val="nil"/>
              <w:left w:val="nil"/>
              <w:bottom w:val="single" w:sz="4" w:space="0" w:color="auto"/>
              <w:right w:val="single" w:sz="4" w:space="0" w:color="auto"/>
            </w:tcBorders>
            <w:shd w:val="clear" w:color="auto" w:fill="auto"/>
            <w:vAlign w:val="center"/>
            <w:hideMark/>
          </w:tcPr>
          <w:p w14:paraId="76B30D8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aprile 2021 (in corso)  </w:t>
            </w:r>
          </w:p>
        </w:tc>
        <w:tc>
          <w:tcPr>
            <w:tcW w:w="3760" w:type="dxa"/>
            <w:tcBorders>
              <w:top w:val="nil"/>
              <w:left w:val="nil"/>
              <w:bottom w:val="single" w:sz="4" w:space="0" w:color="auto"/>
              <w:right w:val="single" w:sz="4" w:space="0" w:color="auto"/>
            </w:tcBorders>
            <w:shd w:val="clear" w:color="auto" w:fill="auto"/>
            <w:vAlign w:val="center"/>
            <w:hideMark/>
          </w:tcPr>
          <w:p w14:paraId="4E1AE56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comunicano ad AGID, tramite apposito form online, l’uso dei modelli per lo sviluppo web per i propri siti istituzionali</w:t>
            </w:r>
          </w:p>
        </w:tc>
        <w:tc>
          <w:tcPr>
            <w:tcW w:w="940" w:type="dxa"/>
            <w:tcBorders>
              <w:top w:val="nil"/>
              <w:left w:val="nil"/>
              <w:bottom w:val="single" w:sz="4" w:space="0" w:color="auto"/>
              <w:right w:val="single" w:sz="8" w:space="0" w:color="auto"/>
            </w:tcBorders>
            <w:shd w:val="clear" w:color="auto" w:fill="auto"/>
            <w:vAlign w:val="center"/>
            <w:hideMark/>
          </w:tcPr>
          <w:p w14:paraId="78DFC03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442B8435"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10B29A9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CAP1.PA.LA19</w:t>
            </w:r>
          </w:p>
        </w:tc>
        <w:tc>
          <w:tcPr>
            <w:tcW w:w="3760" w:type="dxa"/>
            <w:tcBorders>
              <w:top w:val="nil"/>
              <w:left w:val="nil"/>
              <w:bottom w:val="single" w:sz="4" w:space="0" w:color="auto"/>
              <w:right w:val="single" w:sz="4" w:space="0" w:color="auto"/>
            </w:tcBorders>
            <w:shd w:val="clear" w:color="auto" w:fill="auto"/>
            <w:vAlign w:val="center"/>
            <w:hideMark/>
          </w:tcPr>
          <w:p w14:paraId="2EE0CC4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pubblicare gli obiettivi di accessibilità sul proprio sito</w:t>
            </w:r>
          </w:p>
        </w:tc>
        <w:tc>
          <w:tcPr>
            <w:tcW w:w="1038" w:type="dxa"/>
            <w:tcBorders>
              <w:top w:val="nil"/>
              <w:left w:val="nil"/>
              <w:bottom w:val="single" w:sz="4" w:space="0" w:color="auto"/>
              <w:right w:val="single" w:sz="4" w:space="0" w:color="auto"/>
            </w:tcBorders>
            <w:shd w:val="clear" w:color="auto" w:fill="auto"/>
            <w:vAlign w:val="center"/>
            <w:hideMark/>
          </w:tcPr>
          <w:p w14:paraId="01096F3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marzo 2022 </w:t>
            </w:r>
          </w:p>
        </w:tc>
        <w:tc>
          <w:tcPr>
            <w:tcW w:w="3760" w:type="dxa"/>
            <w:tcBorders>
              <w:top w:val="nil"/>
              <w:left w:val="nil"/>
              <w:bottom w:val="single" w:sz="4" w:space="0" w:color="auto"/>
              <w:right w:val="single" w:sz="4" w:space="0" w:color="auto"/>
            </w:tcBorders>
            <w:shd w:val="clear" w:color="auto" w:fill="auto"/>
            <w:vAlign w:val="center"/>
            <w:hideMark/>
          </w:tcPr>
          <w:p w14:paraId="61FCB6B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pubblicare gli obiettivi di accessibilità sul proprio sito</w:t>
            </w:r>
          </w:p>
        </w:tc>
        <w:tc>
          <w:tcPr>
            <w:tcW w:w="1120" w:type="dxa"/>
            <w:tcBorders>
              <w:top w:val="nil"/>
              <w:left w:val="nil"/>
              <w:bottom w:val="single" w:sz="4" w:space="0" w:color="auto"/>
              <w:right w:val="single" w:sz="4" w:space="0" w:color="auto"/>
            </w:tcBorders>
            <w:shd w:val="clear" w:color="auto" w:fill="auto"/>
            <w:vAlign w:val="center"/>
            <w:hideMark/>
          </w:tcPr>
          <w:p w14:paraId="36FAA8F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marzo 2022 </w:t>
            </w:r>
          </w:p>
        </w:tc>
        <w:tc>
          <w:tcPr>
            <w:tcW w:w="3760" w:type="dxa"/>
            <w:tcBorders>
              <w:top w:val="nil"/>
              <w:left w:val="nil"/>
              <w:bottom w:val="single" w:sz="4" w:space="0" w:color="auto"/>
              <w:right w:val="single" w:sz="4" w:space="0" w:color="auto"/>
            </w:tcBorders>
            <w:shd w:val="clear" w:color="auto" w:fill="auto"/>
            <w:vAlign w:val="center"/>
            <w:hideMark/>
          </w:tcPr>
          <w:p w14:paraId="4930847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Entro 31 marzo 2023 le PA devono pubblicare gli obiettivi di accessibilità sul proprio sito</w:t>
            </w:r>
          </w:p>
        </w:tc>
        <w:tc>
          <w:tcPr>
            <w:tcW w:w="940" w:type="dxa"/>
            <w:tcBorders>
              <w:top w:val="nil"/>
              <w:left w:val="nil"/>
              <w:bottom w:val="single" w:sz="4" w:space="0" w:color="auto"/>
              <w:right w:val="single" w:sz="8" w:space="0" w:color="auto"/>
            </w:tcBorders>
            <w:shd w:val="clear" w:color="auto" w:fill="auto"/>
            <w:vAlign w:val="center"/>
            <w:hideMark/>
          </w:tcPr>
          <w:p w14:paraId="65568B5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marzo 2023 </w:t>
            </w:r>
          </w:p>
        </w:tc>
      </w:tr>
      <w:tr w:rsidR="00390427" w:rsidRPr="00390427" w14:paraId="045871C4"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47BC0A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CAP1.PA.LA20</w:t>
            </w:r>
          </w:p>
        </w:tc>
        <w:tc>
          <w:tcPr>
            <w:tcW w:w="3760" w:type="dxa"/>
            <w:tcBorders>
              <w:top w:val="nil"/>
              <w:left w:val="nil"/>
              <w:bottom w:val="single" w:sz="4" w:space="0" w:color="auto"/>
              <w:right w:val="single" w:sz="4" w:space="0" w:color="auto"/>
            </w:tcBorders>
            <w:shd w:val="clear" w:color="auto" w:fill="auto"/>
            <w:vAlign w:val="center"/>
            <w:hideMark/>
          </w:tcPr>
          <w:p w14:paraId="2A9B2AA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1DC0FE6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FED4B5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pubblicano, entro il 23 settembre 2022, tramite l’applicazione form.agid.gov.it, una dichiarazione di accessibilità per ciascuno dei loro i siti web e APP mobili</w:t>
            </w:r>
          </w:p>
        </w:tc>
        <w:tc>
          <w:tcPr>
            <w:tcW w:w="1120" w:type="dxa"/>
            <w:tcBorders>
              <w:top w:val="nil"/>
              <w:left w:val="nil"/>
              <w:bottom w:val="single" w:sz="4" w:space="0" w:color="auto"/>
              <w:right w:val="single" w:sz="4" w:space="0" w:color="auto"/>
            </w:tcBorders>
            <w:shd w:val="clear" w:color="auto" w:fill="auto"/>
            <w:vAlign w:val="center"/>
            <w:hideMark/>
          </w:tcPr>
          <w:p w14:paraId="1D6FA40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settembre 2022 </w:t>
            </w:r>
          </w:p>
        </w:tc>
        <w:tc>
          <w:tcPr>
            <w:tcW w:w="3760" w:type="dxa"/>
            <w:tcBorders>
              <w:top w:val="nil"/>
              <w:left w:val="nil"/>
              <w:bottom w:val="single" w:sz="4" w:space="0" w:color="auto"/>
              <w:right w:val="single" w:sz="4" w:space="0" w:color="auto"/>
            </w:tcBorders>
            <w:shd w:val="clear" w:color="auto" w:fill="auto"/>
            <w:vAlign w:val="center"/>
            <w:hideMark/>
          </w:tcPr>
          <w:p w14:paraId="5EF4FB42"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pubblicano, entro il 23 settembre 2022, tramite l’applicazione form.agid.gov.it, una dichiarazione di accessibilità per ciascuno dei loro i siti web e APP mobili</w:t>
            </w:r>
          </w:p>
        </w:tc>
        <w:tc>
          <w:tcPr>
            <w:tcW w:w="940" w:type="dxa"/>
            <w:tcBorders>
              <w:top w:val="nil"/>
              <w:left w:val="nil"/>
              <w:bottom w:val="single" w:sz="4" w:space="0" w:color="auto"/>
              <w:right w:val="single" w:sz="4" w:space="0" w:color="auto"/>
            </w:tcBorders>
            <w:shd w:val="clear" w:color="auto" w:fill="auto"/>
            <w:vAlign w:val="center"/>
            <w:hideMark/>
          </w:tcPr>
          <w:p w14:paraId="7757F4D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settembre 2022 </w:t>
            </w:r>
          </w:p>
        </w:tc>
      </w:tr>
      <w:tr w:rsidR="00390427" w:rsidRPr="00390427" w14:paraId="43523285"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0110C5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CAP1.PA.LA21</w:t>
            </w:r>
          </w:p>
        </w:tc>
        <w:tc>
          <w:tcPr>
            <w:tcW w:w="3760" w:type="dxa"/>
            <w:tcBorders>
              <w:top w:val="nil"/>
              <w:left w:val="nil"/>
              <w:bottom w:val="single" w:sz="4" w:space="0" w:color="auto"/>
              <w:right w:val="single" w:sz="4" w:space="0" w:color="auto"/>
            </w:tcBorders>
            <w:shd w:val="clear" w:color="auto" w:fill="auto"/>
            <w:vAlign w:val="center"/>
            <w:hideMark/>
          </w:tcPr>
          <w:p w14:paraId="3913894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3D852AB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38C3F5B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Amministrazioni adeguano i propri siti web rimuovendo, tra gli altri, gli errori relativi a 2 criteri di successo più frequentemente non soddisfatti, come pubblicato sul sito di AGID</w:t>
            </w:r>
          </w:p>
        </w:tc>
        <w:tc>
          <w:tcPr>
            <w:tcW w:w="1120" w:type="dxa"/>
            <w:tcBorders>
              <w:top w:val="nil"/>
              <w:left w:val="nil"/>
              <w:bottom w:val="single" w:sz="4" w:space="0" w:color="auto"/>
              <w:right w:val="single" w:sz="4" w:space="0" w:color="auto"/>
            </w:tcBorders>
            <w:shd w:val="clear" w:color="auto" w:fill="auto"/>
            <w:vAlign w:val="center"/>
            <w:hideMark/>
          </w:tcPr>
          <w:p w14:paraId="50B5208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2022 </w:t>
            </w:r>
          </w:p>
        </w:tc>
        <w:tc>
          <w:tcPr>
            <w:tcW w:w="3760" w:type="dxa"/>
            <w:tcBorders>
              <w:top w:val="nil"/>
              <w:left w:val="nil"/>
              <w:bottom w:val="single" w:sz="4" w:space="0" w:color="auto"/>
              <w:right w:val="single" w:sz="4" w:space="0" w:color="auto"/>
            </w:tcBorders>
            <w:shd w:val="clear" w:color="auto" w:fill="auto"/>
            <w:vAlign w:val="center"/>
            <w:hideMark/>
          </w:tcPr>
          <w:p w14:paraId="4FAEA33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Amministrazioni adeguano i propri siti web rimuovendo, tra gli altri, gli errori relativi a 2 criteri di successo più frequentemente non soddisfatti, come pubblicato sul sito di AGID</w:t>
            </w:r>
          </w:p>
        </w:tc>
        <w:tc>
          <w:tcPr>
            <w:tcW w:w="940" w:type="dxa"/>
            <w:tcBorders>
              <w:top w:val="nil"/>
              <w:left w:val="nil"/>
              <w:bottom w:val="single" w:sz="4" w:space="0" w:color="auto"/>
              <w:right w:val="single" w:sz="8" w:space="0" w:color="auto"/>
            </w:tcBorders>
            <w:shd w:val="clear" w:color="auto" w:fill="auto"/>
            <w:vAlign w:val="center"/>
            <w:hideMark/>
          </w:tcPr>
          <w:p w14:paraId="79B8D86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2022 </w:t>
            </w:r>
          </w:p>
        </w:tc>
      </w:tr>
    </w:tbl>
    <w:p w14:paraId="110E6108" w14:textId="77777777" w:rsidR="00A51B5D" w:rsidRDefault="00A51B5D">
      <w:r>
        <w:br w:type="page"/>
      </w:r>
    </w:p>
    <w:tbl>
      <w:tblPr>
        <w:tblW w:w="15461" w:type="dxa"/>
        <w:tblCellMar>
          <w:left w:w="70" w:type="dxa"/>
          <w:right w:w="70" w:type="dxa"/>
        </w:tblCellMar>
        <w:tblLook w:val="04A0" w:firstRow="1" w:lastRow="0" w:firstColumn="1" w:lastColumn="0" w:noHBand="0" w:noVBand="1"/>
      </w:tblPr>
      <w:tblGrid>
        <w:gridCol w:w="1080"/>
        <w:gridCol w:w="3760"/>
        <w:gridCol w:w="1038"/>
        <w:gridCol w:w="3760"/>
        <w:gridCol w:w="1120"/>
        <w:gridCol w:w="3760"/>
        <w:gridCol w:w="943"/>
      </w:tblGrid>
      <w:tr w:rsidR="00390427" w:rsidRPr="00390427" w14:paraId="03E65430" w14:textId="77777777" w:rsidTr="00A51B5D">
        <w:trPr>
          <w:trHeight w:val="315"/>
        </w:trPr>
        <w:tc>
          <w:tcPr>
            <w:tcW w:w="15461"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476FD76" w14:textId="0752DDA9"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lang w:eastAsia="it-IT"/>
              </w:rPr>
            </w:pPr>
            <w:r w:rsidRPr="00390427">
              <w:rPr>
                <w:rFonts w:ascii="Calibri" w:eastAsia="Times New Roman" w:hAnsi="Calibri" w:cs="Calibri"/>
                <w:b/>
                <w:bCs/>
                <w:color w:val="000000"/>
                <w:lang w:eastAsia="it-IT"/>
              </w:rPr>
              <w:lastRenderedPageBreak/>
              <w:t>Linea d'Azione</w:t>
            </w:r>
          </w:p>
        </w:tc>
      </w:tr>
      <w:tr w:rsidR="00390427" w:rsidRPr="00390427" w14:paraId="05D72C70" w14:textId="77777777" w:rsidTr="00A51B5D">
        <w:trPr>
          <w:trHeight w:val="315"/>
        </w:trPr>
        <w:tc>
          <w:tcPr>
            <w:tcW w:w="1080" w:type="dxa"/>
            <w:vMerge w:val="restart"/>
            <w:tcBorders>
              <w:top w:val="nil"/>
              <w:left w:val="single" w:sz="8" w:space="0" w:color="auto"/>
              <w:bottom w:val="single" w:sz="8" w:space="0" w:color="000000"/>
              <w:right w:val="single" w:sz="4" w:space="0" w:color="auto"/>
            </w:tcBorders>
            <w:shd w:val="clear" w:color="auto" w:fill="auto"/>
            <w:vAlign w:val="center"/>
            <w:hideMark/>
          </w:tcPr>
          <w:p w14:paraId="36387162"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Obiettivo </w:t>
            </w:r>
            <w:r w:rsidRPr="00390427">
              <w:rPr>
                <w:rFonts w:ascii="Calibri" w:eastAsia="Times New Roman" w:hAnsi="Calibri" w:cs="Calibri"/>
                <w:b/>
                <w:bCs/>
                <w:color w:val="000000"/>
                <w:sz w:val="18"/>
                <w:szCs w:val="18"/>
                <w:lang w:eastAsia="it-IT"/>
              </w:rPr>
              <w:br/>
              <w:t>L.A.</w:t>
            </w:r>
          </w:p>
        </w:tc>
        <w:tc>
          <w:tcPr>
            <w:tcW w:w="4798" w:type="dxa"/>
            <w:gridSpan w:val="2"/>
            <w:tcBorders>
              <w:top w:val="single" w:sz="4" w:space="0" w:color="auto"/>
              <w:left w:val="nil"/>
              <w:bottom w:val="single" w:sz="4" w:space="0" w:color="auto"/>
              <w:right w:val="nil"/>
            </w:tcBorders>
            <w:shd w:val="clear" w:color="auto" w:fill="auto"/>
            <w:vAlign w:val="center"/>
            <w:hideMark/>
          </w:tcPr>
          <w:p w14:paraId="2E627C11"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1° Piano 2020-2022</w:t>
            </w:r>
          </w:p>
        </w:tc>
        <w:tc>
          <w:tcPr>
            <w:tcW w:w="4880" w:type="dxa"/>
            <w:gridSpan w:val="2"/>
            <w:tcBorders>
              <w:top w:val="single" w:sz="4" w:space="0" w:color="auto"/>
              <w:left w:val="single" w:sz="4" w:space="0" w:color="auto"/>
              <w:bottom w:val="single" w:sz="4" w:space="0" w:color="auto"/>
              <w:right w:val="nil"/>
            </w:tcBorders>
            <w:shd w:val="clear" w:color="auto" w:fill="auto"/>
            <w:vAlign w:val="center"/>
            <w:hideMark/>
          </w:tcPr>
          <w:p w14:paraId="133E6C40"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2° Piano 2021-2023</w:t>
            </w:r>
          </w:p>
        </w:tc>
        <w:tc>
          <w:tcPr>
            <w:tcW w:w="4700"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14:paraId="5CCB7F15"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3° Piano 2020-2024</w:t>
            </w:r>
          </w:p>
        </w:tc>
      </w:tr>
      <w:tr w:rsidR="00390427" w:rsidRPr="00390427" w14:paraId="4B681501" w14:textId="77777777" w:rsidTr="00A51B5D">
        <w:trPr>
          <w:trHeight w:val="495"/>
        </w:trPr>
        <w:tc>
          <w:tcPr>
            <w:tcW w:w="1080" w:type="dxa"/>
            <w:vMerge/>
            <w:tcBorders>
              <w:top w:val="nil"/>
              <w:left w:val="single" w:sz="8" w:space="0" w:color="auto"/>
              <w:bottom w:val="single" w:sz="8" w:space="0" w:color="000000"/>
              <w:right w:val="single" w:sz="4" w:space="0" w:color="auto"/>
            </w:tcBorders>
            <w:vAlign w:val="center"/>
            <w:hideMark/>
          </w:tcPr>
          <w:p w14:paraId="2AD07611" w14:textId="77777777" w:rsidR="00390427" w:rsidRPr="00390427" w:rsidRDefault="00390427"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p>
        </w:tc>
        <w:tc>
          <w:tcPr>
            <w:tcW w:w="3760" w:type="dxa"/>
            <w:tcBorders>
              <w:top w:val="nil"/>
              <w:left w:val="nil"/>
              <w:bottom w:val="single" w:sz="8" w:space="0" w:color="auto"/>
              <w:right w:val="single" w:sz="4" w:space="0" w:color="auto"/>
            </w:tcBorders>
            <w:shd w:val="clear" w:color="auto" w:fill="auto"/>
            <w:vAlign w:val="center"/>
            <w:hideMark/>
          </w:tcPr>
          <w:p w14:paraId="1A4E388E"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038" w:type="dxa"/>
            <w:tcBorders>
              <w:top w:val="nil"/>
              <w:left w:val="nil"/>
              <w:bottom w:val="single" w:sz="8" w:space="0" w:color="auto"/>
              <w:right w:val="single" w:sz="4" w:space="0" w:color="auto"/>
            </w:tcBorders>
            <w:shd w:val="clear" w:color="auto" w:fill="auto"/>
            <w:vAlign w:val="center"/>
            <w:hideMark/>
          </w:tcPr>
          <w:p w14:paraId="45DC52E9"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30659EBF"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20" w:type="dxa"/>
            <w:tcBorders>
              <w:top w:val="nil"/>
              <w:left w:val="nil"/>
              <w:bottom w:val="single" w:sz="8" w:space="0" w:color="auto"/>
              <w:right w:val="single" w:sz="4" w:space="0" w:color="auto"/>
            </w:tcBorders>
            <w:shd w:val="clear" w:color="auto" w:fill="auto"/>
            <w:vAlign w:val="center"/>
            <w:hideMark/>
          </w:tcPr>
          <w:p w14:paraId="4587C0A8"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03F6BA83"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940" w:type="dxa"/>
            <w:tcBorders>
              <w:top w:val="nil"/>
              <w:left w:val="nil"/>
              <w:bottom w:val="single" w:sz="8" w:space="0" w:color="auto"/>
              <w:right w:val="single" w:sz="8" w:space="0" w:color="auto"/>
            </w:tcBorders>
            <w:shd w:val="clear" w:color="auto" w:fill="auto"/>
            <w:vAlign w:val="center"/>
            <w:hideMark/>
          </w:tcPr>
          <w:p w14:paraId="2B5DE006"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r>
      <w:tr w:rsidR="00390427" w:rsidRPr="00390427" w14:paraId="30246233"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4368E92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CAP1.PA.LA22</w:t>
            </w:r>
          </w:p>
        </w:tc>
        <w:tc>
          <w:tcPr>
            <w:tcW w:w="3760" w:type="dxa"/>
            <w:tcBorders>
              <w:top w:val="nil"/>
              <w:left w:val="nil"/>
              <w:bottom w:val="single" w:sz="4" w:space="0" w:color="auto"/>
              <w:right w:val="single" w:sz="4" w:space="0" w:color="auto"/>
            </w:tcBorders>
            <w:shd w:val="clear" w:color="auto" w:fill="auto"/>
            <w:vAlign w:val="center"/>
            <w:hideMark/>
          </w:tcPr>
          <w:p w14:paraId="2AC5C9B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00D8936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F9B9E0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Amministrazioni adeguano i propri siti web rimuovendo, tra gli altri, gli errori relativi a 2 criteri di successo più frequentemente non soddisfatti, come pubblicato sul sito di AGID</w:t>
            </w:r>
          </w:p>
        </w:tc>
        <w:tc>
          <w:tcPr>
            <w:tcW w:w="1120" w:type="dxa"/>
            <w:tcBorders>
              <w:top w:val="nil"/>
              <w:left w:val="nil"/>
              <w:bottom w:val="single" w:sz="4" w:space="0" w:color="auto"/>
              <w:right w:val="single" w:sz="4" w:space="0" w:color="auto"/>
            </w:tcBorders>
            <w:shd w:val="clear" w:color="auto" w:fill="auto"/>
            <w:vAlign w:val="center"/>
            <w:hideMark/>
          </w:tcPr>
          <w:p w14:paraId="600B251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c>
          <w:tcPr>
            <w:tcW w:w="3760" w:type="dxa"/>
            <w:tcBorders>
              <w:top w:val="nil"/>
              <w:left w:val="nil"/>
              <w:bottom w:val="single" w:sz="4" w:space="0" w:color="auto"/>
              <w:right w:val="single" w:sz="4" w:space="0" w:color="auto"/>
            </w:tcBorders>
            <w:shd w:val="clear" w:color="auto" w:fill="auto"/>
            <w:vAlign w:val="center"/>
            <w:hideMark/>
          </w:tcPr>
          <w:p w14:paraId="269A32C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risolvono gli errori relativi al criterio di successo “2.1.1 Tastiera (Livello A)”, come rilevato nel campione di siti web monitorato da AGID nel 2021</w:t>
            </w:r>
          </w:p>
        </w:tc>
        <w:tc>
          <w:tcPr>
            <w:tcW w:w="940" w:type="dxa"/>
            <w:tcBorders>
              <w:top w:val="nil"/>
              <w:left w:val="nil"/>
              <w:bottom w:val="single" w:sz="4" w:space="0" w:color="auto"/>
              <w:right w:val="single" w:sz="8" w:space="0" w:color="auto"/>
            </w:tcBorders>
            <w:shd w:val="clear" w:color="auto" w:fill="auto"/>
            <w:vAlign w:val="center"/>
            <w:hideMark/>
          </w:tcPr>
          <w:p w14:paraId="049A57B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r>
      <w:tr w:rsidR="00390427" w:rsidRPr="00390427" w14:paraId="36C8E02B"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ED7FA0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CAP1.PA.LA23</w:t>
            </w:r>
          </w:p>
        </w:tc>
        <w:tc>
          <w:tcPr>
            <w:tcW w:w="3760" w:type="dxa"/>
            <w:tcBorders>
              <w:top w:val="nil"/>
              <w:left w:val="nil"/>
              <w:bottom w:val="single" w:sz="4" w:space="0" w:color="auto"/>
              <w:right w:val="single" w:sz="4" w:space="0" w:color="auto"/>
            </w:tcBorders>
            <w:shd w:val="clear" w:color="auto" w:fill="auto"/>
            <w:vAlign w:val="center"/>
            <w:hideMark/>
          </w:tcPr>
          <w:p w14:paraId="3E9F743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06398F0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6931232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Amministrazioni centrali, le Regioni e le province autonome, le città metropolitane e i Comuni sopra i 150.000 abitanti comunicano ad AGID, tramite l’applicazione form.agid.gov.it, l’esito dei test di usabilità del proprio sito istituzionale</w:t>
            </w:r>
          </w:p>
        </w:tc>
        <w:tc>
          <w:tcPr>
            <w:tcW w:w="1120" w:type="dxa"/>
            <w:tcBorders>
              <w:top w:val="nil"/>
              <w:left w:val="nil"/>
              <w:bottom w:val="single" w:sz="4" w:space="0" w:color="auto"/>
              <w:right w:val="single" w:sz="4" w:space="0" w:color="auto"/>
            </w:tcBorders>
            <w:shd w:val="clear" w:color="auto" w:fill="auto"/>
            <w:vAlign w:val="center"/>
            <w:hideMark/>
          </w:tcPr>
          <w:p w14:paraId="1D1FB6E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c>
          <w:tcPr>
            <w:tcW w:w="3760" w:type="dxa"/>
            <w:tcBorders>
              <w:top w:val="nil"/>
              <w:left w:val="nil"/>
              <w:bottom w:val="single" w:sz="4" w:space="0" w:color="auto"/>
              <w:right w:val="single" w:sz="4" w:space="0" w:color="auto"/>
            </w:tcBorders>
            <w:shd w:val="clear" w:color="auto" w:fill="auto"/>
            <w:vAlign w:val="center"/>
            <w:hideMark/>
          </w:tcPr>
          <w:p w14:paraId="64B8031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comunicano ad AGID, tramite l’applicazione form.agid.gov.it, l’esito dei test di usabilità del proprio sito istituzionale</w:t>
            </w:r>
          </w:p>
        </w:tc>
        <w:tc>
          <w:tcPr>
            <w:tcW w:w="940" w:type="dxa"/>
            <w:tcBorders>
              <w:top w:val="nil"/>
              <w:left w:val="nil"/>
              <w:bottom w:val="single" w:sz="4" w:space="0" w:color="auto"/>
              <w:right w:val="single" w:sz="8" w:space="0" w:color="auto"/>
            </w:tcBorders>
            <w:shd w:val="clear" w:color="auto" w:fill="auto"/>
            <w:vAlign w:val="center"/>
            <w:hideMark/>
          </w:tcPr>
          <w:p w14:paraId="025CA23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r>
      <w:tr w:rsidR="00390427" w:rsidRPr="00390427" w14:paraId="6A0AE3CE"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34C9B9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CAP1.PA.LA24</w:t>
            </w:r>
          </w:p>
        </w:tc>
        <w:tc>
          <w:tcPr>
            <w:tcW w:w="3760" w:type="dxa"/>
            <w:tcBorders>
              <w:top w:val="nil"/>
              <w:left w:val="nil"/>
              <w:bottom w:val="single" w:sz="4" w:space="0" w:color="auto"/>
              <w:right w:val="single" w:sz="4" w:space="0" w:color="auto"/>
            </w:tcBorders>
            <w:shd w:val="clear" w:color="auto" w:fill="auto"/>
            <w:vAlign w:val="center"/>
            <w:hideMark/>
          </w:tcPr>
          <w:p w14:paraId="3CF951F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43CA120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3A21565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2BFA980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47A8375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seguire i principi delle Linee guida di design per i siti internet e i servizi digitali della PA</w:t>
            </w:r>
          </w:p>
        </w:tc>
        <w:tc>
          <w:tcPr>
            <w:tcW w:w="940" w:type="dxa"/>
            <w:tcBorders>
              <w:top w:val="nil"/>
              <w:left w:val="nil"/>
              <w:bottom w:val="single" w:sz="4" w:space="0" w:color="auto"/>
              <w:right w:val="single" w:sz="8" w:space="0" w:color="auto"/>
            </w:tcBorders>
            <w:shd w:val="clear" w:color="auto" w:fill="auto"/>
            <w:vAlign w:val="center"/>
            <w:hideMark/>
          </w:tcPr>
          <w:p w14:paraId="1B60C24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37ABE444"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ED23BE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CAP1.PA.LA25</w:t>
            </w:r>
          </w:p>
        </w:tc>
        <w:tc>
          <w:tcPr>
            <w:tcW w:w="3760" w:type="dxa"/>
            <w:tcBorders>
              <w:top w:val="nil"/>
              <w:left w:val="nil"/>
              <w:bottom w:val="single" w:sz="4" w:space="0" w:color="auto"/>
              <w:right w:val="single" w:sz="4" w:space="0" w:color="auto"/>
            </w:tcBorders>
            <w:shd w:val="clear" w:color="auto" w:fill="auto"/>
            <w:vAlign w:val="center"/>
            <w:hideMark/>
          </w:tcPr>
          <w:p w14:paraId="22505C7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7FF720E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46B5630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37A4F72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4EAA9DC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comunicano al DTD la realizzazione dei siti in adesione agli avvisi della misura 1.4.1 del PNRR</w:t>
            </w:r>
          </w:p>
        </w:tc>
        <w:tc>
          <w:tcPr>
            <w:tcW w:w="940" w:type="dxa"/>
            <w:tcBorders>
              <w:top w:val="nil"/>
              <w:left w:val="nil"/>
              <w:bottom w:val="single" w:sz="4" w:space="0" w:color="auto"/>
              <w:right w:val="single" w:sz="8" w:space="0" w:color="auto"/>
            </w:tcBorders>
            <w:shd w:val="clear" w:color="auto" w:fill="auto"/>
            <w:vAlign w:val="center"/>
            <w:hideMark/>
          </w:tcPr>
          <w:p w14:paraId="0274033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giugno 2023  </w:t>
            </w:r>
          </w:p>
        </w:tc>
      </w:tr>
      <w:tr w:rsidR="00390427" w:rsidRPr="00390427" w14:paraId="56A8AD13"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860E0A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CAP1.PA.LA26</w:t>
            </w:r>
          </w:p>
        </w:tc>
        <w:tc>
          <w:tcPr>
            <w:tcW w:w="3760" w:type="dxa"/>
            <w:tcBorders>
              <w:top w:val="nil"/>
              <w:left w:val="nil"/>
              <w:bottom w:val="single" w:sz="4" w:space="0" w:color="auto"/>
              <w:right w:val="single" w:sz="4" w:space="0" w:color="auto"/>
            </w:tcBorders>
            <w:shd w:val="clear" w:color="auto" w:fill="auto"/>
            <w:vAlign w:val="center"/>
            <w:hideMark/>
          </w:tcPr>
          <w:p w14:paraId="1796DF8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120AF44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4948EE6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0DEFA7C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3E03A75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pubblicano, entro il 23 settembre 2023, tramite l’applicazione form.agid.gov.it, una dichiarazione di accessibilità per ciascuno dei propri siti web e APP mobili</w:t>
            </w:r>
          </w:p>
        </w:tc>
        <w:tc>
          <w:tcPr>
            <w:tcW w:w="940" w:type="dxa"/>
            <w:tcBorders>
              <w:top w:val="nil"/>
              <w:left w:val="nil"/>
              <w:bottom w:val="single" w:sz="4" w:space="0" w:color="auto"/>
              <w:right w:val="single" w:sz="8" w:space="0" w:color="auto"/>
            </w:tcBorders>
            <w:shd w:val="clear" w:color="auto" w:fill="auto"/>
            <w:vAlign w:val="center"/>
            <w:hideMark/>
          </w:tcPr>
          <w:p w14:paraId="2D37F46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settembre 2023 </w:t>
            </w:r>
          </w:p>
        </w:tc>
      </w:tr>
      <w:tr w:rsidR="00390427" w:rsidRPr="00390427" w14:paraId="38C5853F"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2004839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CAP1.PA.LA27</w:t>
            </w:r>
          </w:p>
        </w:tc>
        <w:tc>
          <w:tcPr>
            <w:tcW w:w="3760" w:type="dxa"/>
            <w:tcBorders>
              <w:top w:val="nil"/>
              <w:left w:val="nil"/>
              <w:bottom w:val="single" w:sz="4" w:space="0" w:color="auto"/>
              <w:right w:val="single" w:sz="4" w:space="0" w:color="auto"/>
            </w:tcBorders>
            <w:shd w:val="clear" w:color="auto" w:fill="auto"/>
            <w:vAlign w:val="center"/>
            <w:hideMark/>
          </w:tcPr>
          <w:p w14:paraId="683877C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595874F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318C403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6C88239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3DCA5F1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Entro il 31 marzo 2024 le PA devono pubblicare gli obiettivi di accessibilità sul proprio sito</w:t>
            </w:r>
          </w:p>
        </w:tc>
        <w:tc>
          <w:tcPr>
            <w:tcW w:w="940" w:type="dxa"/>
            <w:tcBorders>
              <w:top w:val="nil"/>
              <w:left w:val="nil"/>
              <w:bottom w:val="single" w:sz="4" w:space="0" w:color="auto"/>
              <w:right w:val="single" w:sz="8" w:space="0" w:color="auto"/>
            </w:tcBorders>
            <w:shd w:val="clear" w:color="auto" w:fill="auto"/>
            <w:vAlign w:val="center"/>
            <w:hideMark/>
          </w:tcPr>
          <w:p w14:paraId="17AF3D0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marzo 2024 </w:t>
            </w:r>
          </w:p>
        </w:tc>
      </w:tr>
      <w:tr w:rsidR="00390427" w:rsidRPr="00390427" w14:paraId="50D6210A"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C9588D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CAP1.PA.LA28</w:t>
            </w:r>
          </w:p>
        </w:tc>
        <w:tc>
          <w:tcPr>
            <w:tcW w:w="3760" w:type="dxa"/>
            <w:tcBorders>
              <w:top w:val="nil"/>
              <w:left w:val="nil"/>
              <w:bottom w:val="single" w:sz="4" w:space="0" w:color="auto"/>
              <w:right w:val="single" w:sz="4" w:space="0" w:color="auto"/>
            </w:tcBorders>
            <w:shd w:val="clear" w:color="auto" w:fill="auto"/>
            <w:vAlign w:val="center"/>
            <w:hideMark/>
          </w:tcPr>
          <w:p w14:paraId="5FAFA0D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6FB9E77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49F1A32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560C469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2FFBDBC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pubblicano, entro il 23 settembre 2024, tramite l’applicazione form.agid.gov.it, una dichiarazione di accessibilità per ciascuno dei propri siti web e APP mobili</w:t>
            </w:r>
          </w:p>
        </w:tc>
        <w:tc>
          <w:tcPr>
            <w:tcW w:w="940" w:type="dxa"/>
            <w:tcBorders>
              <w:top w:val="nil"/>
              <w:left w:val="nil"/>
              <w:bottom w:val="single" w:sz="4" w:space="0" w:color="auto"/>
              <w:right w:val="single" w:sz="8" w:space="0" w:color="auto"/>
            </w:tcBorders>
            <w:shd w:val="clear" w:color="auto" w:fill="auto"/>
            <w:vAlign w:val="center"/>
            <w:hideMark/>
          </w:tcPr>
          <w:p w14:paraId="6C2B367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settembre 2024 </w:t>
            </w:r>
          </w:p>
        </w:tc>
      </w:tr>
      <w:tr w:rsidR="00390427" w:rsidRPr="00390427" w14:paraId="7110DECD"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41BE6F5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CAP1.PA.LA29</w:t>
            </w:r>
          </w:p>
        </w:tc>
        <w:tc>
          <w:tcPr>
            <w:tcW w:w="3760" w:type="dxa"/>
            <w:tcBorders>
              <w:top w:val="nil"/>
              <w:left w:val="nil"/>
              <w:bottom w:val="single" w:sz="4" w:space="0" w:color="auto"/>
              <w:right w:val="single" w:sz="4" w:space="0" w:color="auto"/>
            </w:tcBorders>
            <w:shd w:val="clear" w:color="auto" w:fill="auto"/>
            <w:vAlign w:val="center"/>
            <w:hideMark/>
          </w:tcPr>
          <w:p w14:paraId="41C286B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5EB61A9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B26774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5DBAE4F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65EFA3F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risolvono gli errori relativi al criterio di successo “4.1.3 Messaggi di stato (Livello AA)”, come rilevato nel campione di siti web monitorato da AGID nel 2021</w:t>
            </w:r>
          </w:p>
        </w:tc>
        <w:tc>
          <w:tcPr>
            <w:tcW w:w="940" w:type="dxa"/>
            <w:tcBorders>
              <w:top w:val="nil"/>
              <w:left w:val="nil"/>
              <w:bottom w:val="single" w:sz="4" w:space="0" w:color="auto"/>
              <w:right w:val="single" w:sz="8" w:space="0" w:color="auto"/>
            </w:tcBorders>
            <w:shd w:val="clear" w:color="auto" w:fill="auto"/>
            <w:vAlign w:val="center"/>
            <w:hideMark/>
          </w:tcPr>
          <w:p w14:paraId="3571FD5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2024 </w:t>
            </w:r>
          </w:p>
        </w:tc>
      </w:tr>
      <w:tr w:rsidR="00390427" w:rsidRPr="00390427" w14:paraId="63BA34BD"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2F40436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CAP1.PA.LA30</w:t>
            </w:r>
          </w:p>
        </w:tc>
        <w:tc>
          <w:tcPr>
            <w:tcW w:w="3760" w:type="dxa"/>
            <w:tcBorders>
              <w:top w:val="nil"/>
              <w:left w:val="nil"/>
              <w:bottom w:val="single" w:sz="4" w:space="0" w:color="auto"/>
              <w:right w:val="single" w:sz="4" w:space="0" w:color="auto"/>
            </w:tcBorders>
            <w:shd w:val="clear" w:color="auto" w:fill="auto"/>
            <w:vAlign w:val="center"/>
            <w:hideMark/>
          </w:tcPr>
          <w:p w14:paraId="4F6693AB"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2D3BEB6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6EC19D0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autorità municipali rendono accessibili le informazioni, spiegazioni e istruzioni, di cui agli art. 2, 9 e 10 del Regolamento EU 2018/1724, secondo le specifiche tecniche di implementazione</w:t>
            </w:r>
          </w:p>
        </w:tc>
        <w:tc>
          <w:tcPr>
            <w:tcW w:w="1120" w:type="dxa"/>
            <w:tcBorders>
              <w:top w:val="nil"/>
              <w:left w:val="nil"/>
              <w:bottom w:val="single" w:sz="4" w:space="0" w:color="auto"/>
              <w:right w:val="single" w:sz="4" w:space="0" w:color="auto"/>
            </w:tcBorders>
            <w:shd w:val="clear" w:color="auto" w:fill="auto"/>
            <w:vAlign w:val="center"/>
            <w:hideMark/>
          </w:tcPr>
          <w:p w14:paraId="14B34AD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2022 </w:t>
            </w:r>
          </w:p>
        </w:tc>
        <w:tc>
          <w:tcPr>
            <w:tcW w:w="3760" w:type="dxa"/>
            <w:tcBorders>
              <w:top w:val="nil"/>
              <w:left w:val="nil"/>
              <w:bottom w:val="single" w:sz="4" w:space="0" w:color="auto"/>
              <w:right w:val="single" w:sz="4" w:space="0" w:color="auto"/>
            </w:tcBorders>
            <w:shd w:val="clear" w:color="auto" w:fill="auto"/>
            <w:vAlign w:val="center"/>
            <w:hideMark/>
          </w:tcPr>
          <w:p w14:paraId="3D4A5C9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Pubbliche amministrazioni competenti rendono accessibili le informazioni, spiegazioni e istruzioni, di cui agli art. 2, 9 e 10 del Regolamento EU 2018/1724, secondo le specifiche tecniche di implementazione</w:t>
            </w:r>
          </w:p>
        </w:tc>
        <w:tc>
          <w:tcPr>
            <w:tcW w:w="940" w:type="dxa"/>
            <w:tcBorders>
              <w:top w:val="nil"/>
              <w:left w:val="nil"/>
              <w:bottom w:val="single" w:sz="4" w:space="0" w:color="auto"/>
              <w:right w:val="single" w:sz="8" w:space="0" w:color="auto"/>
            </w:tcBorders>
            <w:shd w:val="clear" w:color="auto" w:fill="auto"/>
            <w:vAlign w:val="center"/>
            <w:hideMark/>
          </w:tcPr>
          <w:p w14:paraId="68CEE1D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2022 </w:t>
            </w:r>
          </w:p>
        </w:tc>
      </w:tr>
      <w:tr w:rsidR="00390427" w:rsidRPr="00390427" w14:paraId="04056F8E" w14:textId="77777777" w:rsidTr="00A51B5D">
        <w:trPr>
          <w:trHeight w:val="315"/>
        </w:trPr>
        <w:tc>
          <w:tcPr>
            <w:tcW w:w="15461"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92DFB10"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lang w:eastAsia="it-IT"/>
              </w:rPr>
            </w:pPr>
            <w:r w:rsidRPr="00390427">
              <w:rPr>
                <w:rFonts w:ascii="Calibri" w:eastAsia="Times New Roman" w:hAnsi="Calibri" w:cs="Calibri"/>
                <w:b/>
                <w:bCs/>
                <w:color w:val="000000"/>
                <w:lang w:eastAsia="it-IT"/>
              </w:rPr>
              <w:t>Linea d'Azione</w:t>
            </w:r>
          </w:p>
        </w:tc>
      </w:tr>
      <w:tr w:rsidR="00390427" w:rsidRPr="00390427" w14:paraId="14F32C7E" w14:textId="77777777" w:rsidTr="00A51B5D">
        <w:trPr>
          <w:trHeight w:val="315"/>
        </w:trPr>
        <w:tc>
          <w:tcPr>
            <w:tcW w:w="1080" w:type="dxa"/>
            <w:vMerge w:val="restart"/>
            <w:tcBorders>
              <w:top w:val="nil"/>
              <w:left w:val="single" w:sz="8" w:space="0" w:color="auto"/>
              <w:bottom w:val="single" w:sz="8" w:space="0" w:color="000000"/>
              <w:right w:val="single" w:sz="4" w:space="0" w:color="auto"/>
            </w:tcBorders>
            <w:shd w:val="clear" w:color="auto" w:fill="auto"/>
            <w:vAlign w:val="center"/>
            <w:hideMark/>
          </w:tcPr>
          <w:p w14:paraId="5F954CC9"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lastRenderedPageBreak/>
              <w:t xml:space="preserve">Obiettivo </w:t>
            </w:r>
            <w:r w:rsidRPr="00390427">
              <w:rPr>
                <w:rFonts w:ascii="Calibri" w:eastAsia="Times New Roman" w:hAnsi="Calibri" w:cs="Calibri"/>
                <w:b/>
                <w:bCs/>
                <w:color w:val="000000"/>
                <w:sz w:val="18"/>
                <w:szCs w:val="18"/>
                <w:lang w:eastAsia="it-IT"/>
              </w:rPr>
              <w:br/>
              <w:t>L.A.</w:t>
            </w:r>
          </w:p>
        </w:tc>
        <w:tc>
          <w:tcPr>
            <w:tcW w:w="4798" w:type="dxa"/>
            <w:gridSpan w:val="2"/>
            <w:tcBorders>
              <w:top w:val="single" w:sz="4" w:space="0" w:color="auto"/>
              <w:left w:val="nil"/>
              <w:bottom w:val="single" w:sz="4" w:space="0" w:color="auto"/>
              <w:right w:val="nil"/>
            </w:tcBorders>
            <w:shd w:val="clear" w:color="auto" w:fill="auto"/>
            <w:vAlign w:val="center"/>
            <w:hideMark/>
          </w:tcPr>
          <w:p w14:paraId="7DAFAFAE"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1° Piano 2020-2022</w:t>
            </w:r>
          </w:p>
        </w:tc>
        <w:tc>
          <w:tcPr>
            <w:tcW w:w="4880" w:type="dxa"/>
            <w:gridSpan w:val="2"/>
            <w:tcBorders>
              <w:top w:val="single" w:sz="4" w:space="0" w:color="auto"/>
              <w:left w:val="single" w:sz="4" w:space="0" w:color="auto"/>
              <w:bottom w:val="single" w:sz="4" w:space="0" w:color="auto"/>
              <w:right w:val="nil"/>
            </w:tcBorders>
            <w:shd w:val="clear" w:color="auto" w:fill="auto"/>
            <w:vAlign w:val="center"/>
            <w:hideMark/>
          </w:tcPr>
          <w:p w14:paraId="57F39F4B"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2° Piano 2021-2023</w:t>
            </w:r>
          </w:p>
        </w:tc>
        <w:tc>
          <w:tcPr>
            <w:tcW w:w="4700"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14:paraId="3832EE77"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3° Piano 2020-2024</w:t>
            </w:r>
          </w:p>
        </w:tc>
      </w:tr>
      <w:tr w:rsidR="00390427" w:rsidRPr="00390427" w14:paraId="2298CDE2" w14:textId="77777777" w:rsidTr="00A51B5D">
        <w:trPr>
          <w:trHeight w:val="495"/>
        </w:trPr>
        <w:tc>
          <w:tcPr>
            <w:tcW w:w="1080" w:type="dxa"/>
            <w:vMerge/>
            <w:tcBorders>
              <w:top w:val="nil"/>
              <w:left w:val="single" w:sz="8" w:space="0" w:color="auto"/>
              <w:bottom w:val="single" w:sz="8" w:space="0" w:color="000000"/>
              <w:right w:val="single" w:sz="4" w:space="0" w:color="auto"/>
            </w:tcBorders>
            <w:vAlign w:val="center"/>
            <w:hideMark/>
          </w:tcPr>
          <w:p w14:paraId="4FFE8868" w14:textId="77777777" w:rsidR="00390427" w:rsidRPr="00390427" w:rsidRDefault="00390427"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p>
        </w:tc>
        <w:tc>
          <w:tcPr>
            <w:tcW w:w="3760" w:type="dxa"/>
            <w:tcBorders>
              <w:top w:val="nil"/>
              <w:left w:val="nil"/>
              <w:bottom w:val="single" w:sz="8" w:space="0" w:color="auto"/>
              <w:right w:val="single" w:sz="4" w:space="0" w:color="auto"/>
            </w:tcBorders>
            <w:shd w:val="clear" w:color="auto" w:fill="auto"/>
            <w:vAlign w:val="center"/>
            <w:hideMark/>
          </w:tcPr>
          <w:p w14:paraId="72C3E52E"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038" w:type="dxa"/>
            <w:tcBorders>
              <w:top w:val="nil"/>
              <w:left w:val="nil"/>
              <w:bottom w:val="single" w:sz="8" w:space="0" w:color="auto"/>
              <w:right w:val="single" w:sz="4" w:space="0" w:color="auto"/>
            </w:tcBorders>
            <w:shd w:val="clear" w:color="auto" w:fill="auto"/>
            <w:vAlign w:val="center"/>
            <w:hideMark/>
          </w:tcPr>
          <w:p w14:paraId="603C0906"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7A3319FF"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20" w:type="dxa"/>
            <w:tcBorders>
              <w:top w:val="nil"/>
              <w:left w:val="nil"/>
              <w:bottom w:val="single" w:sz="8" w:space="0" w:color="auto"/>
              <w:right w:val="single" w:sz="4" w:space="0" w:color="auto"/>
            </w:tcBorders>
            <w:shd w:val="clear" w:color="auto" w:fill="auto"/>
            <w:vAlign w:val="center"/>
            <w:hideMark/>
          </w:tcPr>
          <w:p w14:paraId="15793E48"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67570055"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940" w:type="dxa"/>
            <w:tcBorders>
              <w:top w:val="nil"/>
              <w:left w:val="nil"/>
              <w:bottom w:val="single" w:sz="8" w:space="0" w:color="auto"/>
              <w:right w:val="single" w:sz="8" w:space="0" w:color="auto"/>
            </w:tcBorders>
            <w:shd w:val="clear" w:color="auto" w:fill="auto"/>
            <w:vAlign w:val="center"/>
            <w:hideMark/>
          </w:tcPr>
          <w:p w14:paraId="0FB4B538"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r>
      <w:tr w:rsidR="00390427" w:rsidRPr="00390427" w14:paraId="61226B7C"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98635B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CAP1.PA.LA31</w:t>
            </w:r>
          </w:p>
        </w:tc>
        <w:tc>
          <w:tcPr>
            <w:tcW w:w="3760" w:type="dxa"/>
            <w:tcBorders>
              <w:top w:val="nil"/>
              <w:left w:val="nil"/>
              <w:bottom w:val="single" w:sz="4" w:space="0" w:color="auto"/>
              <w:right w:val="single" w:sz="4" w:space="0" w:color="auto"/>
            </w:tcBorders>
            <w:shd w:val="clear" w:color="auto" w:fill="auto"/>
            <w:vAlign w:val="center"/>
            <w:hideMark/>
          </w:tcPr>
          <w:p w14:paraId="2CC86FE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2079951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735A22B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Pubbliche Amministrazioni competenti per i dati necessari all’esecuzione dei procedimenti amministrativi ricompresi nelle procedure di cui all’Allegato II del Regolamento UE 2018/1724, mettono a disposizione dati strutturati ovvero dati non strutturati in formato elettronico secondo ontologie e accessibili tramite API nel rispetto delle specifiche tecniche del Single Digital Gateway. Nel caso di Pubbliche Amministrazioni che rendono disponibili i dati non strutturati, le stesse amministrazioni predispongono la pianificazione di messa a disposizione degli stessi dati in formato strutturato prevedendo il completamento dell’attività entro Dicembre 2025</w:t>
            </w:r>
          </w:p>
        </w:tc>
        <w:tc>
          <w:tcPr>
            <w:tcW w:w="1120" w:type="dxa"/>
            <w:tcBorders>
              <w:top w:val="nil"/>
              <w:left w:val="nil"/>
              <w:bottom w:val="single" w:sz="4" w:space="0" w:color="auto"/>
              <w:right w:val="single" w:sz="4" w:space="0" w:color="auto"/>
            </w:tcBorders>
            <w:shd w:val="clear" w:color="auto" w:fill="auto"/>
            <w:vAlign w:val="center"/>
            <w:hideMark/>
          </w:tcPr>
          <w:p w14:paraId="63F3CF7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c>
          <w:tcPr>
            <w:tcW w:w="3760" w:type="dxa"/>
            <w:tcBorders>
              <w:top w:val="nil"/>
              <w:left w:val="nil"/>
              <w:bottom w:val="single" w:sz="4" w:space="0" w:color="auto"/>
              <w:right w:val="single" w:sz="4" w:space="0" w:color="auto"/>
            </w:tcBorders>
            <w:shd w:val="clear" w:color="auto" w:fill="auto"/>
            <w:vAlign w:val="center"/>
            <w:hideMark/>
          </w:tcPr>
          <w:p w14:paraId="1B6B704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Pubbliche Amministrazioni competenti per i dati necessari all’esecuzione dei procedimenti amministrativi ricompresi nelle procedure di cui all’Allegato II del Regolamento UE 2018/1724, mettono a disposizione dati strutturati ovvero dati non strutturati in formato elettronico secondo ontologie e accessibili tramite API nel rispetto delle specifiche tecniche del Single Digital Gateway. Nel caso di Pubbliche Amministrazioni che rendono disponibili i dati non strutturati, le stesse amministrazioni predispongono la pianificazione di messa a disposizione degli stessi dati in formato strutturato prevedendo il completamento dell’attività entro dicembre 2025</w:t>
            </w:r>
          </w:p>
        </w:tc>
        <w:tc>
          <w:tcPr>
            <w:tcW w:w="940" w:type="dxa"/>
            <w:tcBorders>
              <w:top w:val="nil"/>
              <w:left w:val="nil"/>
              <w:bottom w:val="single" w:sz="4" w:space="0" w:color="auto"/>
              <w:right w:val="single" w:sz="8" w:space="0" w:color="auto"/>
            </w:tcBorders>
            <w:shd w:val="clear" w:color="auto" w:fill="auto"/>
            <w:vAlign w:val="center"/>
            <w:hideMark/>
          </w:tcPr>
          <w:p w14:paraId="03BF68C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r>
      <w:tr w:rsidR="00390427" w:rsidRPr="00390427" w14:paraId="068A4B1F"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08256C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CAP1.PA.LA32</w:t>
            </w:r>
          </w:p>
        </w:tc>
        <w:tc>
          <w:tcPr>
            <w:tcW w:w="3760" w:type="dxa"/>
            <w:tcBorders>
              <w:top w:val="nil"/>
              <w:left w:val="nil"/>
              <w:bottom w:val="single" w:sz="4" w:space="0" w:color="auto"/>
              <w:right w:val="single" w:sz="4" w:space="0" w:color="auto"/>
            </w:tcBorders>
            <w:shd w:val="clear" w:color="auto" w:fill="auto"/>
            <w:vAlign w:val="center"/>
            <w:hideMark/>
          </w:tcPr>
          <w:p w14:paraId="2348DFC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3DBC841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4246CAB"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0469931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613DCC2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Pubbliche Amministrazioni competenti per i procedimenti amministrativi relativi alle procedure di cui all’Allegato II del Regolamento UE 2018/1724 adeguano i propri procedimenti amministrativi alle specifiche tecniche di implementazione del Single Digital Gateway</w:t>
            </w:r>
          </w:p>
        </w:tc>
        <w:tc>
          <w:tcPr>
            <w:tcW w:w="940" w:type="dxa"/>
            <w:tcBorders>
              <w:top w:val="nil"/>
              <w:left w:val="nil"/>
              <w:bottom w:val="single" w:sz="4" w:space="0" w:color="auto"/>
              <w:right w:val="single" w:sz="8" w:space="0" w:color="auto"/>
            </w:tcBorders>
            <w:shd w:val="clear" w:color="auto" w:fill="auto"/>
            <w:vAlign w:val="center"/>
            <w:hideMark/>
          </w:tcPr>
          <w:p w14:paraId="1ACEB1D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r>
      <w:tr w:rsidR="00390427" w:rsidRPr="00390427" w14:paraId="33F5F410"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270A3F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CAP1.PA.LA33</w:t>
            </w:r>
          </w:p>
        </w:tc>
        <w:tc>
          <w:tcPr>
            <w:tcW w:w="3760" w:type="dxa"/>
            <w:tcBorders>
              <w:top w:val="nil"/>
              <w:left w:val="nil"/>
              <w:bottom w:val="single" w:sz="4" w:space="0" w:color="auto"/>
              <w:right w:val="single" w:sz="4" w:space="0" w:color="auto"/>
            </w:tcBorders>
            <w:shd w:val="clear" w:color="auto" w:fill="auto"/>
            <w:vAlign w:val="center"/>
            <w:hideMark/>
          </w:tcPr>
          <w:p w14:paraId="364E8A4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7E1AA57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5F4A025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3548D49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461090E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effettuano test per l’integrazione delle applicazioni in uso (ad esempio il protocollo) sul nuovo sistema. Per tali integrazioni si raccomanda alle amministrazioni di utilizzare al meglio i fondi PNRR alla data disponibili</w:t>
            </w:r>
          </w:p>
        </w:tc>
        <w:tc>
          <w:tcPr>
            <w:tcW w:w="940" w:type="dxa"/>
            <w:tcBorders>
              <w:top w:val="nil"/>
              <w:left w:val="nil"/>
              <w:bottom w:val="single" w:sz="4" w:space="0" w:color="auto"/>
              <w:right w:val="single" w:sz="8" w:space="0" w:color="auto"/>
            </w:tcBorders>
            <w:shd w:val="clear" w:color="auto" w:fill="auto"/>
            <w:vAlign w:val="center"/>
            <w:hideMark/>
          </w:tcPr>
          <w:p w14:paraId="0493C4E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r>
      <w:tr w:rsidR="00390427" w:rsidRPr="00390427" w14:paraId="7FE43A25"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DA0E65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CAP1.PA.LA34</w:t>
            </w:r>
          </w:p>
        </w:tc>
        <w:tc>
          <w:tcPr>
            <w:tcW w:w="3760" w:type="dxa"/>
            <w:tcBorders>
              <w:top w:val="nil"/>
              <w:left w:val="nil"/>
              <w:bottom w:val="single" w:sz="4" w:space="0" w:color="auto"/>
              <w:right w:val="single" w:sz="4" w:space="0" w:color="auto"/>
            </w:tcBorders>
            <w:shd w:val="clear" w:color="auto" w:fill="auto"/>
            <w:vAlign w:val="center"/>
            <w:hideMark/>
          </w:tcPr>
          <w:p w14:paraId="20B1CAB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5FB97A3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69922CE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27D1781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29F963A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si rendono pronte all’esercizio delle applicazioni sui nuovi sistemi</w:t>
            </w:r>
          </w:p>
        </w:tc>
        <w:tc>
          <w:tcPr>
            <w:tcW w:w="940" w:type="dxa"/>
            <w:tcBorders>
              <w:top w:val="nil"/>
              <w:left w:val="nil"/>
              <w:bottom w:val="single" w:sz="4" w:space="0" w:color="auto"/>
              <w:right w:val="single" w:sz="8" w:space="0" w:color="auto"/>
            </w:tcBorders>
            <w:shd w:val="clear" w:color="auto" w:fill="auto"/>
            <w:vAlign w:val="center"/>
            <w:hideMark/>
          </w:tcPr>
          <w:p w14:paraId="5F70A7D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aprile 2024 </w:t>
            </w:r>
          </w:p>
        </w:tc>
      </w:tr>
      <w:tr w:rsidR="00390427" w:rsidRPr="00390427" w14:paraId="4BADC3DA"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197A97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CAP1.PA.LA35</w:t>
            </w:r>
          </w:p>
        </w:tc>
        <w:tc>
          <w:tcPr>
            <w:tcW w:w="3760" w:type="dxa"/>
            <w:tcBorders>
              <w:top w:val="nil"/>
              <w:left w:val="nil"/>
              <w:bottom w:val="single" w:sz="4" w:space="0" w:color="auto"/>
              <w:right w:val="single" w:sz="4" w:space="0" w:color="auto"/>
            </w:tcBorders>
            <w:shd w:val="clear" w:color="auto" w:fill="auto"/>
            <w:vAlign w:val="center"/>
            <w:hideMark/>
          </w:tcPr>
          <w:p w14:paraId="624DC04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individuano i dataset di tipo dinamico da rendere disponibili in open data coerenti con il modello di interoperabilità e con i modelli di riferimento di dati nazionali ed europei</w:t>
            </w:r>
          </w:p>
        </w:tc>
        <w:tc>
          <w:tcPr>
            <w:tcW w:w="1038" w:type="dxa"/>
            <w:tcBorders>
              <w:top w:val="nil"/>
              <w:left w:val="nil"/>
              <w:bottom w:val="single" w:sz="4" w:space="0" w:color="auto"/>
              <w:right w:val="single" w:sz="4" w:space="0" w:color="auto"/>
            </w:tcBorders>
            <w:shd w:val="clear" w:color="auto" w:fill="auto"/>
            <w:vAlign w:val="center"/>
            <w:hideMark/>
          </w:tcPr>
          <w:p w14:paraId="5BD55F1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2021  </w:t>
            </w:r>
          </w:p>
        </w:tc>
        <w:tc>
          <w:tcPr>
            <w:tcW w:w="3760" w:type="dxa"/>
            <w:tcBorders>
              <w:top w:val="nil"/>
              <w:left w:val="nil"/>
              <w:bottom w:val="single" w:sz="4" w:space="0" w:color="auto"/>
              <w:right w:val="single" w:sz="4" w:space="0" w:color="auto"/>
            </w:tcBorders>
            <w:shd w:val="clear" w:color="auto" w:fill="auto"/>
            <w:vAlign w:val="center"/>
            <w:hideMark/>
          </w:tcPr>
          <w:p w14:paraId="23AE01A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servizi pubblici individuano i dataset di tipo dinamico da rendere disponibili in open data coerenti con quanto previsto dalla Direttiva documentandoli nel catalogo nazionali dei dati aperti</w:t>
            </w:r>
          </w:p>
        </w:tc>
        <w:tc>
          <w:tcPr>
            <w:tcW w:w="1120" w:type="dxa"/>
            <w:tcBorders>
              <w:top w:val="nil"/>
              <w:left w:val="nil"/>
              <w:bottom w:val="single" w:sz="4" w:space="0" w:color="auto"/>
              <w:right w:val="single" w:sz="4" w:space="0" w:color="auto"/>
            </w:tcBorders>
            <w:shd w:val="clear" w:color="auto" w:fill="auto"/>
            <w:vAlign w:val="center"/>
            <w:hideMark/>
          </w:tcPr>
          <w:p w14:paraId="65810BC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2021 (in corso)  </w:t>
            </w:r>
          </w:p>
        </w:tc>
        <w:tc>
          <w:tcPr>
            <w:tcW w:w="3760" w:type="dxa"/>
            <w:tcBorders>
              <w:top w:val="nil"/>
              <w:left w:val="nil"/>
              <w:bottom w:val="single" w:sz="4" w:space="0" w:color="auto"/>
              <w:right w:val="single" w:sz="4" w:space="0" w:color="auto"/>
            </w:tcBorders>
            <w:shd w:val="clear" w:color="auto" w:fill="auto"/>
            <w:vAlign w:val="center"/>
            <w:hideMark/>
          </w:tcPr>
          <w:p w14:paraId="22AE858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servizi pubblici individuano i dataset di tipo dinamico da rendere disponibili in open data coerenti con quanto previsto dalla Direttiva documentandoli nel catalogo nazionali dei dati aperti</w:t>
            </w:r>
          </w:p>
        </w:tc>
        <w:tc>
          <w:tcPr>
            <w:tcW w:w="940" w:type="dxa"/>
            <w:tcBorders>
              <w:top w:val="nil"/>
              <w:left w:val="nil"/>
              <w:bottom w:val="single" w:sz="4" w:space="0" w:color="auto"/>
              <w:right w:val="single" w:sz="8" w:space="0" w:color="auto"/>
            </w:tcBorders>
            <w:shd w:val="clear" w:color="auto" w:fill="auto"/>
            <w:vAlign w:val="center"/>
            <w:hideMark/>
          </w:tcPr>
          <w:p w14:paraId="1C46300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3DCF2185"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43F625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CAP1.PA.LA36</w:t>
            </w:r>
          </w:p>
        </w:tc>
        <w:tc>
          <w:tcPr>
            <w:tcW w:w="3760" w:type="dxa"/>
            <w:tcBorders>
              <w:top w:val="nil"/>
              <w:left w:val="nil"/>
              <w:bottom w:val="single" w:sz="4" w:space="0" w:color="auto"/>
              <w:right w:val="single" w:sz="4" w:space="0" w:color="auto"/>
            </w:tcBorders>
            <w:shd w:val="clear" w:color="auto" w:fill="auto"/>
            <w:vAlign w:val="center"/>
            <w:hideMark/>
          </w:tcPr>
          <w:p w14:paraId="6EAC0C1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rendono disponibili i dati territoriali attraverso i servizi di cui alla Direttiva 2007/2/EC (INSPIRE)</w:t>
            </w:r>
          </w:p>
        </w:tc>
        <w:tc>
          <w:tcPr>
            <w:tcW w:w="1038" w:type="dxa"/>
            <w:tcBorders>
              <w:top w:val="nil"/>
              <w:left w:val="nil"/>
              <w:bottom w:val="single" w:sz="4" w:space="0" w:color="auto"/>
              <w:right w:val="single" w:sz="4" w:space="0" w:color="auto"/>
            </w:tcBorders>
            <w:shd w:val="clear" w:color="auto" w:fill="auto"/>
            <w:vAlign w:val="center"/>
            <w:hideMark/>
          </w:tcPr>
          <w:p w14:paraId="595833C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2021  </w:t>
            </w:r>
          </w:p>
        </w:tc>
        <w:tc>
          <w:tcPr>
            <w:tcW w:w="3760" w:type="dxa"/>
            <w:tcBorders>
              <w:top w:val="nil"/>
              <w:left w:val="nil"/>
              <w:bottom w:val="single" w:sz="4" w:space="0" w:color="auto"/>
              <w:right w:val="single" w:sz="4" w:space="0" w:color="auto"/>
            </w:tcBorders>
            <w:shd w:val="clear" w:color="auto" w:fill="auto"/>
            <w:vAlign w:val="center"/>
            <w:hideMark/>
          </w:tcPr>
          <w:p w14:paraId="27C660E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rendono disponibili i dati territoriali attraverso i servizi di cui alla Direttiva 2007/2/EC (INSPIRE)</w:t>
            </w:r>
          </w:p>
        </w:tc>
        <w:tc>
          <w:tcPr>
            <w:tcW w:w="1120" w:type="dxa"/>
            <w:tcBorders>
              <w:top w:val="nil"/>
              <w:left w:val="nil"/>
              <w:bottom w:val="single" w:sz="4" w:space="0" w:color="auto"/>
              <w:right w:val="single" w:sz="4" w:space="0" w:color="auto"/>
            </w:tcBorders>
            <w:shd w:val="clear" w:color="auto" w:fill="auto"/>
            <w:vAlign w:val="center"/>
            <w:hideMark/>
          </w:tcPr>
          <w:p w14:paraId="007F9BE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2021  </w:t>
            </w:r>
          </w:p>
        </w:tc>
        <w:tc>
          <w:tcPr>
            <w:tcW w:w="3760" w:type="dxa"/>
            <w:tcBorders>
              <w:top w:val="nil"/>
              <w:left w:val="nil"/>
              <w:bottom w:val="single" w:sz="4" w:space="0" w:color="auto"/>
              <w:right w:val="single" w:sz="4" w:space="0" w:color="auto"/>
            </w:tcBorders>
            <w:shd w:val="clear" w:color="auto" w:fill="auto"/>
            <w:vAlign w:val="center"/>
            <w:hideMark/>
          </w:tcPr>
          <w:p w14:paraId="3A8D235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rendono disponibili i dati territoriali attraverso i servizi di cui alla Direttiva 2007/2/EC (INSPIRE)</w:t>
            </w:r>
          </w:p>
        </w:tc>
        <w:tc>
          <w:tcPr>
            <w:tcW w:w="940" w:type="dxa"/>
            <w:tcBorders>
              <w:top w:val="nil"/>
              <w:left w:val="nil"/>
              <w:bottom w:val="single" w:sz="4" w:space="0" w:color="auto"/>
              <w:right w:val="single" w:sz="4" w:space="0" w:color="auto"/>
            </w:tcBorders>
            <w:shd w:val="clear" w:color="auto" w:fill="auto"/>
            <w:vAlign w:val="center"/>
            <w:hideMark/>
          </w:tcPr>
          <w:p w14:paraId="5392B24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2021  </w:t>
            </w:r>
          </w:p>
        </w:tc>
      </w:tr>
      <w:tr w:rsidR="00390427" w:rsidRPr="00390427" w14:paraId="05AA0912"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4E45B43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CAP1.PA.LA56</w:t>
            </w:r>
          </w:p>
        </w:tc>
        <w:tc>
          <w:tcPr>
            <w:tcW w:w="3760" w:type="dxa"/>
            <w:tcBorders>
              <w:top w:val="nil"/>
              <w:left w:val="nil"/>
              <w:bottom w:val="single" w:sz="4" w:space="0" w:color="auto"/>
              <w:right w:val="single" w:sz="4" w:space="0" w:color="auto"/>
            </w:tcBorders>
            <w:shd w:val="clear" w:color="auto" w:fill="auto"/>
            <w:vAlign w:val="center"/>
            <w:hideMark/>
          </w:tcPr>
          <w:p w14:paraId="631FBE6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intendono aderire a NoiPA esprimono manifestazione di interesse e inviano richiesta di adesione</w:t>
            </w:r>
          </w:p>
        </w:tc>
        <w:tc>
          <w:tcPr>
            <w:tcW w:w="1038" w:type="dxa"/>
            <w:tcBorders>
              <w:top w:val="nil"/>
              <w:left w:val="nil"/>
              <w:bottom w:val="single" w:sz="4" w:space="0" w:color="auto"/>
              <w:right w:val="single" w:sz="4" w:space="0" w:color="auto"/>
            </w:tcBorders>
            <w:shd w:val="clear" w:color="auto" w:fill="auto"/>
            <w:vAlign w:val="center"/>
            <w:hideMark/>
          </w:tcPr>
          <w:p w14:paraId="53D965F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ottobre 2020  </w:t>
            </w:r>
          </w:p>
        </w:tc>
        <w:tc>
          <w:tcPr>
            <w:tcW w:w="3760" w:type="dxa"/>
            <w:tcBorders>
              <w:top w:val="nil"/>
              <w:left w:val="nil"/>
              <w:bottom w:val="single" w:sz="4" w:space="0" w:color="auto"/>
              <w:right w:val="single" w:sz="4" w:space="0" w:color="auto"/>
            </w:tcBorders>
            <w:shd w:val="clear" w:color="auto" w:fill="auto"/>
            <w:vAlign w:val="center"/>
            <w:hideMark/>
          </w:tcPr>
          <w:p w14:paraId="562A878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intendono aderire a NoiPA esprimono manifestazione di interesse e inviano richiesta di adesione</w:t>
            </w:r>
          </w:p>
        </w:tc>
        <w:tc>
          <w:tcPr>
            <w:tcW w:w="1120" w:type="dxa"/>
            <w:tcBorders>
              <w:top w:val="nil"/>
              <w:left w:val="nil"/>
              <w:bottom w:val="single" w:sz="4" w:space="0" w:color="auto"/>
              <w:right w:val="single" w:sz="4" w:space="0" w:color="auto"/>
            </w:tcBorders>
            <w:shd w:val="clear" w:color="auto" w:fill="auto"/>
            <w:vAlign w:val="center"/>
            <w:hideMark/>
          </w:tcPr>
          <w:p w14:paraId="389F3AF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ottobre 2020 (in corso)  </w:t>
            </w:r>
          </w:p>
        </w:tc>
        <w:tc>
          <w:tcPr>
            <w:tcW w:w="3760" w:type="dxa"/>
            <w:tcBorders>
              <w:top w:val="nil"/>
              <w:left w:val="nil"/>
              <w:bottom w:val="single" w:sz="4" w:space="0" w:color="auto"/>
              <w:right w:val="single" w:sz="4" w:space="0" w:color="auto"/>
            </w:tcBorders>
            <w:shd w:val="clear" w:color="auto" w:fill="auto"/>
            <w:vAlign w:val="center"/>
            <w:hideMark/>
          </w:tcPr>
          <w:p w14:paraId="4FA5CA2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intendono aderire a NoiPA esprimono manifestazione di interesse e inviano richiesta di adesione</w:t>
            </w:r>
          </w:p>
        </w:tc>
        <w:tc>
          <w:tcPr>
            <w:tcW w:w="940" w:type="dxa"/>
            <w:tcBorders>
              <w:top w:val="nil"/>
              <w:left w:val="nil"/>
              <w:bottom w:val="single" w:sz="4" w:space="0" w:color="auto"/>
              <w:right w:val="single" w:sz="8" w:space="0" w:color="auto"/>
            </w:tcBorders>
            <w:shd w:val="clear" w:color="auto" w:fill="auto"/>
            <w:vAlign w:val="center"/>
            <w:hideMark/>
          </w:tcPr>
          <w:p w14:paraId="264A263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bl>
    <w:p w14:paraId="62669EEC" w14:textId="77777777" w:rsidR="00A51B5D" w:rsidRDefault="00A51B5D">
      <w:r>
        <w:br w:type="page"/>
      </w:r>
    </w:p>
    <w:tbl>
      <w:tblPr>
        <w:tblW w:w="15220" w:type="dxa"/>
        <w:tblCellMar>
          <w:left w:w="70" w:type="dxa"/>
          <w:right w:w="70" w:type="dxa"/>
        </w:tblCellMar>
        <w:tblLook w:val="04A0" w:firstRow="1" w:lastRow="0" w:firstColumn="1" w:lastColumn="0" w:noHBand="0" w:noVBand="1"/>
      </w:tblPr>
      <w:tblGrid>
        <w:gridCol w:w="1080"/>
        <w:gridCol w:w="3760"/>
        <w:gridCol w:w="800"/>
        <w:gridCol w:w="3760"/>
        <w:gridCol w:w="1120"/>
        <w:gridCol w:w="3760"/>
        <w:gridCol w:w="940"/>
      </w:tblGrid>
      <w:tr w:rsidR="00390427" w:rsidRPr="00390427" w14:paraId="742BC2AD" w14:textId="77777777" w:rsidTr="00E81077">
        <w:trPr>
          <w:trHeight w:val="315"/>
        </w:trPr>
        <w:tc>
          <w:tcPr>
            <w:tcW w:w="15220"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FAA527F" w14:textId="6FAD3211"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lang w:eastAsia="it-IT"/>
              </w:rPr>
            </w:pPr>
            <w:r w:rsidRPr="00390427">
              <w:rPr>
                <w:rFonts w:ascii="Calibri" w:eastAsia="Times New Roman" w:hAnsi="Calibri" w:cs="Calibri"/>
                <w:b/>
                <w:bCs/>
                <w:color w:val="000000"/>
                <w:lang w:eastAsia="it-IT"/>
              </w:rPr>
              <w:lastRenderedPageBreak/>
              <w:t>Linea d'Azione</w:t>
            </w:r>
          </w:p>
        </w:tc>
      </w:tr>
      <w:tr w:rsidR="00390427" w:rsidRPr="00390427" w14:paraId="1B98FEA9" w14:textId="77777777" w:rsidTr="00E81077">
        <w:trPr>
          <w:trHeight w:val="315"/>
        </w:trPr>
        <w:tc>
          <w:tcPr>
            <w:tcW w:w="1080" w:type="dxa"/>
            <w:vMerge w:val="restart"/>
            <w:tcBorders>
              <w:top w:val="nil"/>
              <w:left w:val="single" w:sz="8" w:space="0" w:color="auto"/>
              <w:bottom w:val="single" w:sz="8" w:space="0" w:color="000000"/>
              <w:right w:val="single" w:sz="4" w:space="0" w:color="auto"/>
            </w:tcBorders>
            <w:shd w:val="clear" w:color="auto" w:fill="auto"/>
            <w:vAlign w:val="center"/>
            <w:hideMark/>
          </w:tcPr>
          <w:p w14:paraId="4DD86075"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Obiettivo </w:t>
            </w:r>
            <w:r w:rsidRPr="00390427">
              <w:rPr>
                <w:rFonts w:ascii="Calibri" w:eastAsia="Times New Roman" w:hAnsi="Calibri" w:cs="Calibri"/>
                <w:b/>
                <w:bCs/>
                <w:color w:val="000000"/>
                <w:sz w:val="18"/>
                <w:szCs w:val="18"/>
                <w:lang w:eastAsia="it-IT"/>
              </w:rPr>
              <w:br/>
              <w:t>L.A.</w:t>
            </w:r>
          </w:p>
        </w:tc>
        <w:tc>
          <w:tcPr>
            <w:tcW w:w="4560" w:type="dxa"/>
            <w:gridSpan w:val="2"/>
            <w:tcBorders>
              <w:top w:val="single" w:sz="4" w:space="0" w:color="auto"/>
              <w:left w:val="nil"/>
              <w:bottom w:val="single" w:sz="4" w:space="0" w:color="auto"/>
              <w:right w:val="nil"/>
            </w:tcBorders>
            <w:shd w:val="clear" w:color="auto" w:fill="auto"/>
            <w:vAlign w:val="center"/>
            <w:hideMark/>
          </w:tcPr>
          <w:p w14:paraId="00F93ADB"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1° Piano 2020-2022</w:t>
            </w:r>
          </w:p>
        </w:tc>
        <w:tc>
          <w:tcPr>
            <w:tcW w:w="4880" w:type="dxa"/>
            <w:gridSpan w:val="2"/>
            <w:tcBorders>
              <w:top w:val="single" w:sz="4" w:space="0" w:color="auto"/>
              <w:left w:val="single" w:sz="4" w:space="0" w:color="auto"/>
              <w:bottom w:val="single" w:sz="4" w:space="0" w:color="auto"/>
              <w:right w:val="nil"/>
            </w:tcBorders>
            <w:shd w:val="clear" w:color="auto" w:fill="auto"/>
            <w:vAlign w:val="center"/>
            <w:hideMark/>
          </w:tcPr>
          <w:p w14:paraId="74538892"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2° Piano 2021-2023</w:t>
            </w:r>
          </w:p>
        </w:tc>
        <w:tc>
          <w:tcPr>
            <w:tcW w:w="4700"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14:paraId="43AB3EE7"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3° Piano 2020-2024</w:t>
            </w:r>
          </w:p>
        </w:tc>
      </w:tr>
      <w:tr w:rsidR="00390427" w:rsidRPr="00390427" w14:paraId="3A2AD102" w14:textId="77777777" w:rsidTr="00E81077">
        <w:trPr>
          <w:trHeight w:val="495"/>
        </w:trPr>
        <w:tc>
          <w:tcPr>
            <w:tcW w:w="1080" w:type="dxa"/>
            <w:vMerge/>
            <w:tcBorders>
              <w:top w:val="nil"/>
              <w:left w:val="single" w:sz="8" w:space="0" w:color="auto"/>
              <w:bottom w:val="single" w:sz="8" w:space="0" w:color="000000"/>
              <w:right w:val="single" w:sz="4" w:space="0" w:color="auto"/>
            </w:tcBorders>
            <w:vAlign w:val="center"/>
            <w:hideMark/>
          </w:tcPr>
          <w:p w14:paraId="576E4B98" w14:textId="77777777" w:rsidR="00390427" w:rsidRPr="00390427" w:rsidRDefault="00390427"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p>
        </w:tc>
        <w:tc>
          <w:tcPr>
            <w:tcW w:w="3760" w:type="dxa"/>
            <w:tcBorders>
              <w:top w:val="nil"/>
              <w:left w:val="nil"/>
              <w:bottom w:val="single" w:sz="8" w:space="0" w:color="auto"/>
              <w:right w:val="single" w:sz="4" w:space="0" w:color="auto"/>
            </w:tcBorders>
            <w:shd w:val="clear" w:color="auto" w:fill="auto"/>
            <w:vAlign w:val="center"/>
            <w:hideMark/>
          </w:tcPr>
          <w:p w14:paraId="3D56FAE2"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800" w:type="dxa"/>
            <w:tcBorders>
              <w:top w:val="nil"/>
              <w:left w:val="nil"/>
              <w:bottom w:val="single" w:sz="8" w:space="0" w:color="auto"/>
              <w:right w:val="single" w:sz="4" w:space="0" w:color="auto"/>
            </w:tcBorders>
            <w:shd w:val="clear" w:color="auto" w:fill="auto"/>
            <w:vAlign w:val="center"/>
            <w:hideMark/>
          </w:tcPr>
          <w:p w14:paraId="4CE382D2"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4F1EA082"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20" w:type="dxa"/>
            <w:tcBorders>
              <w:top w:val="nil"/>
              <w:left w:val="nil"/>
              <w:bottom w:val="single" w:sz="8" w:space="0" w:color="auto"/>
              <w:right w:val="single" w:sz="4" w:space="0" w:color="auto"/>
            </w:tcBorders>
            <w:shd w:val="clear" w:color="auto" w:fill="auto"/>
            <w:vAlign w:val="center"/>
            <w:hideMark/>
          </w:tcPr>
          <w:p w14:paraId="65007C7B"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5EB4720B"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940" w:type="dxa"/>
            <w:tcBorders>
              <w:top w:val="nil"/>
              <w:left w:val="nil"/>
              <w:bottom w:val="single" w:sz="8" w:space="0" w:color="auto"/>
              <w:right w:val="single" w:sz="8" w:space="0" w:color="auto"/>
            </w:tcBorders>
            <w:shd w:val="clear" w:color="auto" w:fill="auto"/>
            <w:vAlign w:val="center"/>
            <w:hideMark/>
          </w:tcPr>
          <w:p w14:paraId="4B87F766" w14:textId="77777777" w:rsidR="00390427" w:rsidRPr="00390427" w:rsidRDefault="00390427"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r>
      <w:tr w:rsidR="00390427" w:rsidRPr="00390427" w14:paraId="3DB3A5A8"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72AA44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CAP1.PA.LA57</w:t>
            </w:r>
          </w:p>
        </w:tc>
        <w:tc>
          <w:tcPr>
            <w:tcW w:w="3760" w:type="dxa"/>
            <w:tcBorders>
              <w:top w:val="nil"/>
              <w:left w:val="nil"/>
              <w:bottom w:val="single" w:sz="4" w:space="0" w:color="auto"/>
              <w:right w:val="single" w:sz="4" w:space="0" w:color="auto"/>
            </w:tcBorders>
            <w:shd w:val="clear" w:color="auto" w:fill="auto"/>
            <w:vAlign w:val="center"/>
            <w:hideMark/>
          </w:tcPr>
          <w:p w14:paraId="69ECD5C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Regioni, Enti Locali e Strutture sanitarie elaborano piani regionali per l’adozione di pagoPA, anche attraverso il dialogo tra le realtà associative degli enti territoriali coinvolti</w:t>
            </w:r>
          </w:p>
        </w:tc>
        <w:tc>
          <w:tcPr>
            <w:tcW w:w="800" w:type="dxa"/>
            <w:tcBorders>
              <w:top w:val="nil"/>
              <w:left w:val="nil"/>
              <w:bottom w:val="single" w:sz="4" w:space="0" w:color="auto"/>
              <w:right w:val="single" w:sz="4" w:space="0" w:color="auto"/>
            </w:tcBorders>
            <w:shd w:val="clear" w:color="auto" w:fill="auto"/>
            <w:vAlign w:val="center"/>
            <w:hideMark/>
          </w:tcPr>
          <w:p w14:paraId="3DD18CD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c>
          <w:tcPr>
            <w:tcW w:w="3760" w:type="dxa"/>
            <w:tcBorders>
              <w:top w:val="nil"/>
              <w:left w:val="nil"/>
              <w:bottom w:val="single" w:sz="4" w:space="0" w:color="auto"/>
              <w:right w:val="single" w:sz="4" w:space="0" w:color="auto"/>
            </w:tcBorders>
            <w:shd w:val="clear" w:color="auto" w:fill="auto"/>
            <w:vAlign w:val="center"/>
            <w:hideMark/>
          </w:tcPr>
          <w:p w14:paraId="2B15806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Regioni, Enti Locali e Strutture sanitarie elaborano piani regionali per l’adozione di pagoPA, anche attraverso il dialogo tra le realtà associative degli enti territoriali coinvolti</w:t>
            </w:r>
          </w:p>
        </w:tc>
        <w:tc>
          <w:tcPr>
            <w:tcW w:w="1120" w:type="dxa"/>
            <w:tcBorders>
              <w:top w:val="nil"/>
              <w:left w:val="nil"/>
              <w:bottom w:val="single" w:sz="4" w:space="0" w:color="auto"/>
              <w:right w:val="single" w:sz="4" w:space="0" w:color="auto"/>
            </w:tcBorders>
            <w:shd w:val="clear" w:color="auto" w:fill="auto"/>
            <w:vAlign w:val="center"/>
            <w:hideMark/>
          </w:tcPr>
          <w:p w14:paraId="72ECD1C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c>
          <w:tcPr>
            <w:tcW w:w="3760" w:type="dxa"/>
            <w:tcBorders>
              <w:top w:val="nil"/>
              <w:left w:val="nil"/>
              <w:bottom w:val="single" w:sz="4" w:space="0" w:color="auto"/>
              <w:right w:val="single" w:sz="4" w:space="0" w:color="auto"/>
            </w:tcBorders>
            <w:shd w:val="clear" w:color="auto" w:fill="auto"/>
            <w:vAlign w:val="center"/>
            <w:hideMark/>
          </w:tcPr>
          <w:p w14:paraId="0237B222"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Regioni, Enti Locali e Strutture sanitarie elaborano piani regionali per l’adozione di pagoPA, anche attraverso il dialogo tra le realtà associative degli enti territoriali coinvolti</w:t>
            </w:r>
          </w:p>
        </w:tc>
        <w:tc>
          <w:tcPr>
            <w:tcW w:w="940" w:type="dxa"/>
            <w:tcBorders>
              <w:top w:val="nil"/>
              <w:left w:val="nil"/>
              <w:bottom w:val="single" w:sz="4" w:space="0" w:color="auto"/>
              <w:right w:val="single" w:sz="4" w:space="0" w:color="auto"/>
            </w:tcBorders>
            <w:shd w:val="clear" w:color="auto" w:fill="auto"/>
            <w:vAlign w:val="center"/>
            <w:hideMark/>
          </w:tcPr>
          <w:p w14:paraId="2DB96DB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r>
      <w:tr w:rsidR="00390427" w:rsidRPr="00390427" w14:paraId="25D3B91D"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2FE6FF2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CAP1.PA.LA59</w:t>
            </w:r>
          </w:p>
        </w:tc>
        <w:tc>
          <w:tcPr>
            <w:tcW w:w="3760" w:type="dxa"/>
            <w:tcBorders>
              <w:top w:val="nil"/>
              <w:left w:val="nil"/>
              <w:bottom w:val="single" w:sz="4" w:space="0" w:color="auto"/>
              <w:right w:val="single" w:sz="4" w:space="0" w:color="auto"/>
            </w:tcBorders>
            <w:shd w:val="clear" w:color="auto" w:fill="auto"/>
            <w:vAlign w:val="center"/>
            <w:hideMark/>
          </w:tcPr>
          <w:p w14:paraId="4BD6CB2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interessate compilano il questionario per la raccolta delle informazioni di assessment per l’adesione a NoiPA</w:t>
            </w:r>
          </w:p>
        </w:tc>
        <w:tc>
          <w:tcPr>
            <w:tcW w:w="800" w:type="dxa"/>
            <w:tcBorders>
              <w:top w:val="nil"/>
              <w:left w:val="nil"/>
              <w:bottom w:val="single" w:sz="4" w:space="0" w:color="auto"/>
              <w:right w:val="single" w:sz="4" w:space="0" w:color="auto"/>
            </w:tcBorders>
            <w:shd w:val="clear" w:color="auto" w:fill="auto"/>
            <w:vAlign w:val="center"/>
            <w:hideMark/>
          </w:tcPr>
          <w:p w14:paraId="0A3BED5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2021  </w:t>
            </w:r>
          </w:p>
        </w:tc>
        <w:tc>
          <w:tcPr>
            <w:tcW w:w="3760" w:type="dxa"/>
            <w:tcBorders>
              <w:top w:val="nil"/>
              <w:left w:val="nil"/>
              <w:bottom w:val="single" w:sz="4" w:space="0" w:color="auto"/>
              <w:right w:val="single" w:sz="4" w:space="0" w:color="auto"/>
            </w:tcBorders>
            <w:shd w:val="clear" w:color="auto" w:fill="auto"/>
            <w:vAlign w:val="center"/>
            <w:hideMark/>
          </w:tcPr>
          <w:p w14:paraId="380DAEA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interessate compilano il questionario per la raccolta delle informazioni di assessment per l’adesione a NoiPA</w:t>
            </w:r>
          </w:p>
        </w:tc>
        <w:tc>
          <w:tcPr>
            <w:tcW w:w="1120" w:type="dxa"/>
            <w:tcBorders>
              <w:top w:val="nil"/>
              <w:left w:val="nil"/>
              <w:bottom w:val="single" w:sz="4" w:space="0" w:color="auto"/>
              <w:right w:val="single" w:sz="4" w:space="0" w:color="auto"/>
            </w:tcBorders>
            <w:shd w:val="clear" w:color="auto" w:fill="auto"/>
            <w:vAlign w:val="center"/>
            <w:hideMark/>
          </w:tcPr>
          <w:p w14:paraId="7FF0FF8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2021 (in corso)  </w:t>
            </w:r>
          </w:p>
        </w:tc>
        <w:tc>
          <w:tcPr>
            <w:tcW w:w="3760" w:type="dxa"/>
            <w:tcBorders>
              <w:top w:val="nil"/>
              <w:left w:val="nil"/>
              <w:bottom w:val="single" w:sz="4" w:space="0" w:color="auto"/>
              <w:right w:val="single" w:sz="4" w:space="0" w:color="auto"/>
            </w:tcBorders>
            <w:shd w:val="clear" w:color="auto" w:fill="auto"/>
            <w:vAlign w:val="center"/>
            <w:hideMark/>
          </w:tcPr>
          <w:p w14:paraId="5B888C6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interessate compilano il questionario per la raccolta delle informazioni di assessment per l’adesione a NoiPA</w:t>
            </w:r>
          </w:p>
        </w:tc>
        <w:tc>
          <w:tcPr>
            <w:tcW w:w="940" w:type="dxa"/>
            <w:tcBorders>
              <w:top w:val="nil"/>
              <w:left w:val="nil"/>
              <w:bottom w:val="single" w:sz="4" w:space="0" w:color="auto"/>
              <w:right w:val="single" w:sz="8" w:space="0" w:color="auto"/>
            </w:tcBorders>
            <w:shd w:val="clear" w:color="auto" w:fill="auto"/>
            <w:vAlign w:val="center"/>
            <w:hideMark/>
          </w:tcPr>
          <w:p w14:paraId="207E3C1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5FBB0E80"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46714BF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CAP1.PA.LA62</w:t>
            </w:r>
          </w:p>
        </w:tc>
        <w:tc>
          <w:tcPr>
            <w:tcW w:w="3760" w:type="dxa"/>
            <w:tcBorders>
              <w:top w:val="nil"/>
              <w:left w:val="nil"/>
              <w:bottom w:val="single" w:sz="4" w:space="0" w:color="auto"/>
              <w:right w:val="single" w:sz="4" w:space="0" w:color="auto"/>
            </w:tcBorders>
            <w:shd w:val="clear" w:color="auto" w:fill="auto"/>
            <w:vAlign w:val="center"/>
            <w:hideMark/>
          </w:tcPr>
          <w:p w14:paraId="037B8EE2"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800" w:type="dxa"/>
            <w:tcBorders>
              <w:top w:val="nil"/>
              <w:left w:val="nil"/>
              <w:bottom w:val="single" w:sz="4" w:space="0" w:color="auto"/>
              <w:right w:val="single" w:sz="4" w:space="0" w:color="auto"/>
            </w:tcBorders>
            <w:shd w:val="clear" w:color="auto" w:fill="auto"/>
            <w:vAlign w:val="center"/>
            <w:hideMark/>
          </w:tcPr>
          <w:p w14:paraId="3625334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4C2C964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658D6B0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7D4F811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interessate ai nuovi servizi NoiPA disponibili dal 2024 esprimono manifestazione di interesse per l’adesione ai servizi</w:t>
            </w:r>
          </w:p>
        </w:tc>
        <w:tc>
          <w:tcPr>
            <w:tcW w:w="940" w:type="dxa"/>
            <w:tcBorders>
              <w:top w:val="nil"/>
              <w:left w:val="nil"/>
              <w:bottom w:val="single" w:sz="4" w:space="0" w:color="auto"/>
              <w:right w:val="single" w:sz="8" w:space="0" w:color="auto"/>
            </w:tcBorders>
            <w:shd w:val="clear" w:color="auto" w:fill="auto"/>
            <w:vAlign w:val="center"/>
            <w:hideMark/>
          </w:tcPr>
          <w:p w14:paraId="6E19681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2024  </w:t>
            </w:r>
          </w:p>
        </w:tc>
      </w:tr>
      <w:tr w:rsidR="00390427" w:rsidRPr="00390427" w14:paraId="253AF387"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26281DB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CAP1.PA.LA63</w:t>
            </w:r>
          </w:p>
        </w:tc>
        <w:tc>
          <w:tcPr>
            <w:tcW w:w="3760" w:type="dxa"/>
            <w:tcBorders>
              <w:top w:val="nil"/>
              <w:left w:val="nil"/>
              <w:bottom w:val="single" w:sz="4" w:space="0" w:color="auto"/>
              <w:right w:val="single" w:sz="4" w:space="0" w:color="auto"/>
            </w:tcBorders>
            <w:shd w:val="clear" w:color="auto" w:fill="auto"/>
            <w:vAlign w:val="center"/>
            <w:hideMark/>
          </w:tcPr>
          <w:p w14:paraId="6C09C24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proseguono il percorso di adesione a SPID e PagoPA e dismettono le altre modalità di autenticazione e pagamento associate ai propri servizi online</w:t>
            </w:r>
          </w:p>
        </w:tc>
        <w:tc>
          <w:tcPr>
            <w:tcW w:w="800" w:type="dxa"/>
            <w:tcBorders>
              <w:top w:val="nil"/>
              <w:left w:val="nil"/>
              <w:bottom w:val="single" w:sz="4" w:space="0" w:color="auto"/>
              <w:right w:val="single" w:sz="4" w:space="0" w:color="auto"/>
            </w:tcBorders>
            <w:shd w:val="clear" w:color="auto" w:fill="auto"/>
            <w:vAlign w:val="center"/>
            <w:hideMark/>
          </w:tcPr>
          <w:p w14:paraId="4D704B0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w:t>
            </w:r>
          </w:p>
        </w:tc>
        <w:tc>
          <w:tcPr>
            <w:tcW w:w="3760" w:type="dxa"/>
            <w:tcBorders>
              <w:top w:val="nil"/>
              <w:left w:val="nil"/>
              <w:bottom w:val="single" w:sz="4" w:space="0" w:color="auto"/>
              <w:right w:val="single" w:sz="4" w:space="0" w:color="auto"/>
            </w:tcBorders>
            <w:shd w:val="clear" w:color="auto" w:fill="auto"/>
            <w:vAlign w:val="center"/>
            <w:hideMark/>
          </w:tcPr>
          <w:p w14:paraId="67FC49C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proseguono il percorso di adesione a SPID e CIE e dismettono le altre modalità di autenticazione associate ai propri servizi online</w:t>
            </w:r>
          </w:p>
        </w:tc>
        <w:tc>
          <w:tcPr>
            <w:tcW w:w="1120" w:type="dxa"/>
            <w:tcBorders>
              <w:top w:val="nil"/>
              <w:left w:val="nil"/>
              <w:bottom w:val="single" w:sz="4" w:space="0" w:color="auto"/>
              <w:right w:val="single" w:sz="4" w:space="0" w:color="auto"/>
            </w:tcBorders>
            <w:shd w:val="clear" w:color="auto" w:fill="auto"/>
            <w:vAlign w:val="center"/>
            <w:hideMark/>
          </w:tcPr>
          <w:p w14:paraId="54A639A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(in corso)  </w:t>
            </w:r>
          </w:p>
        </w:tc>
        <w:tc>
          <w:tcPr>
            <w:tcW w:w="3760" w:type="dxa"/>
            <w:tcBorders>
              <w:top w:val="nil"/>
              <w:left w:val="nil"/>
              <w:bottom w:val="single" w:sz="4" w:space="0" w:color="auto"/>
              <w:right w:val="single" w:sz="4" w:space="0" w:color="auto"/>
            </w:tcBorders>
            <w:shd w:val="clear" w:color="auto" w:fill="auto"/>
            <w:vAlign w:val="center"/>
            <w:hideMark/>
          </w:tcPr>
          <w:p w14:paraId="07FE423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proseguono il percorso di adesione a SPID e CIE e dismettono le altre modalità di autenticazione associate ai propri servizi online</w:t>
            </w:r>
          </w:p>
        </w:tc>
        <w:tc>
          <w:tcPr>
            <w:tcW w:w="940" w:type="dxa"/>
            <w:tcBorders>
              <w:top w:val="nil"/>
              <w:left w:val="nil"/>
              <w:bottom w:val="single" w:sz="4" w:space="0" w:color="auto"/>
              <w:right w:val="single" w:sz="8" w:space="0" w:color="auto"/>
            </w:tcBorders>
            <w:shd w:val="clear" w:color="auto" w:fill="auto"/>
            <w:vAlign w:val="center"/>
            <w:hideMark/>
          </w:tcPr>
          <w:p w14:paraId="403DFDB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21ECE6D9"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19D55A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CAP1.PA.LA64</w:t>
            </w:r>
          </w:p>
        </w:tc>
        <w:tc>
          <w:tcPr>
            <w:tcW w:w="3760" w:type="dxa"/>
            <w:tcBorders>
              <w:top w:val="nil"/>
              <w:left w:val="nil"/>
              <w:bottom w:val="single" w:sz="4" w:space="0" w:color="auto"/>
              <w:right w:val="single" w:sz="4" w:space="0" w:color="auto"/>
            </w:tcBorders>
            <w:shd w:val="clear" w:color="auto" w:fill="auto"/>
            <w:vAlign w:val="center"/>
            <w:hideMark/>
          </w:tcPr>
          <w:p w14:paraId="6BEC298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comunicano al Dipartimento per la Trasformazione Digitale le tempistiche per l’adozione dello SPID</w:t>
            </w:r>
          </w:p>
        </w:tc>
        <w:tc>
          <w:tcPr>
            <w:tcW w:w="800" w:type="dxa"/>
            <w:tcBorders>
              <w:top w:val="nil"/>
              <w:left w:val="nil"/>
              <w:bottom w:val="single" w:sz="4" w:space="0" w:color="auto"/>
              <w:right w:val="single" w:sz="4" w:space="0" w:color="auto"/>
            </w:tcBorders>
            <w:shd w:val="clear" w:color="auto" w:fill="auto"/>
            <w:vAlign w:val="center"/>
            <w:hideMark/>
          </w:tcPr>
          <w:p w14:paraId="5E01366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c>
          <w:tcPr>
            <w:tcW w:w="3760" w:type="dxa"/>
            <w:tcBorders>
              <w:top w:val="nil"/>
              <w:left w:val="nil"/>
              <w:bottom w:val="single" w:sz="4" w:space="0" w:color="auto"/>
              <w:right w:val="single" w:sz="4" w:space="0" w:color="auto"/>
            </w:tcBorders>
            <w:shd w:val="clear" w:color="auto" w:fill="auto"/>
            <w:vAlign w:val="center"/>
            <w:hideMark/>
          </w:tcPr>
          <w:p w14:paraId="6F90965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comunicano al Dipartimento per la Trasformazione Digitale le tempistiche per l’adozione dello SPID</w:t>
            </w:r>
          </w:p>
        </w:tc>
        <w:tc>
          <w:tcPr>
            <w:tcW w:w="1120" w:type="dxa"/>
            <w:tcBorders>
              <w:top w:val="nil"/>
              <w:left w:val="nil"/>
              <w:bottom w:val="single" w:sz="4" w:space="0" w:color="auto"/>
              <w:right w:val="single" w:sz="4" w:space="0" w:color="auto"/>
            </w:tcBorders>
            <w:shd w:val="clear" w:color="auto" w:fill="auto"/>
            <w:vAlign w:val="center"/>
            <w:hideMark/>
          </w:tcPr>
          <w:p w14:paraId="18E42C5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c>
          <w:tcPr>
            <w:tcW w:w="3760" w:type="dxa"/>
            <w:tcBorders>
              <w:top w:val="nil"/>
              <w:left w:val="nil"/>
              <w:bottom w:val="single" w:sz="4" w:space="0" w:color="auto"/>
              <w:right w:val="single" w:sz="4" w:space="0" w:color="auto"/>
            </w:tcBorders>
            <w:shd w:val="clear" w:color="auto" w:fill="auto"/>
            <w:vAlign w:val="center"/>
            <w:hideMark/>
          </w:tcPr>
          <w:p w14:paraId="04851FE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comunicano al Dipartimento per la Trasformazione Digitale le tempistiche per l’adozione dello SPID</w:t>
            </w:r>
          </w:p>
        </w:tc>
        <w:tc>
          <w:tcPr>
            <w:tcW w:w="940" w:type="dxa"/>
            <w:tcBorders>
              <w:top w:val="nil"/>
              <w:left w:val="nil"/>
              <w:bottom w:val="single" w:sz="4" w:space="0" w:color="auto"/>
              <w:right w:val="single" w:sz="4" w:space="0" w:color="auto"/>
            </w:tcBorders>
            <w:shd w:val="clear" w:color="auto" w:fill="auto"/>
            <w:vAlign w:val="center"/>
            <w:hideMark/>
          </w:tcPr>
          <w:p w14:paraId="0226B4A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r>
      <w:tr w:rsidR="00390427" w:rsidRPr="00390427" w14:paraId="298AEA51"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1860E29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CAP1.PA.LA65</w:t>
            </w:r>
          </w:p>
        </w:tc>
        <w:tc>
          <w:tcPr>
            <w:tcW w:w="3760" w:type="dxa"/>
            <w:tcBorders>
              <w:top w:val="nil"/>
              <w:left w:val="nil"/>
              <w:bottom w:val="single" w:sz="4" w:space="0" w:color="auto"/>
              <w:right w:val="single" w:sz="4" w:space="0" w:color="auto"/>
            </w:tcBorders>
            <w:shd w:val="clear" w:color="auto" w:fill="auto"/>
            <w:vAlign w:val="center"/>
            <w:hideMark/>
          </w:tcPr>
          <w:p w14:paraId="57E05C9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definiscono un piano operativo e temporale per la cessazione del rilascio di credenziali proprietarie e per la predisposizione di un accesso SPID only nei confronti dei cittadini dotabili di SPID</w:t>
            </w:r>
          </w:p>
        </w:tc>
        <w:tc>
          <w:tcPr>
            <w:tcW w:w="800" w:type="dxa"/>
            <w:tcBorders>
              <w:top w:val="nil"/>
              <w:left w:val="nil"/>
              <w:bottom w:val="single" w:sz="4" w:space="0" w:color="auto"/>
              <w:right w:val="single" w:sz="4" w:space="0" w:color="auto"/>
            </w:tcBorders>
            <w:shd w:val="clear" w:color="auto" w:fill="auto"/>
            <w:vAlign w:val="center"/>
            <w:hideMark/>
          </w:tcPr>
          <w:p w14:paraId="554DFCF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c>
          <w:tcPr>
            <w:tcW w:w="3760" w:type="dxa"/>
            <w:tcBorders>
              <w:top w:val="nil"/>
              <w:left w:val="nil"/>
              <w:bottom w:val="single" w:sz="4" w:space="0" w:color="auto"/>
              <w:right w:val="single" w:sz="4" w:space="0" w:color="auto"/>
            </w:tcBorders>
            <w:shd w:val="clear" w:color="auto" w:fill="auto"/>
            <w:vAlign w:val="center"/>
            <w:hideMark/>
          </w:tcPr>
          <w:p w14:paraId="2BEEEC0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definiscono un piano operativo e temporale per la cessazione del rilascio di credenziali proprietarie e per la predisposizione di un accesso SPID only nei confronti dei cittadini dotabili di SPID</w:t>
            </w:r>
          </w:p>
        </w:tc>
        <w:tc>
          <w:tcPr>
            <w:tcW w:w="1120" w:type="dxa"/>
            <w:tcBorders>
              <w:top w:val="nil"/>
              <w:left w:val="nil"/>
              <w:bottom w:val="single" w:sz="4" w:space="0" w:color="auto"/>
              <w:right w:val="single" w:sz="4" w:space="0" w:color="auto"/>
            </w:tcBorders>
            <w:shd w:val="clear" w:color="auto" w:fill="auto"/>
            <w:vAlign w:val="center"/>
            <w:hideMark/>
          </w:tcPr>
          <w:p w14:paraId="07E1568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c>
          <w:tcPr>
            <w:tcW w:w="3760" w:type="dxa"/>
            <w:tcBorders>
              <w:top w:val="nil"/>
              <w:left w:val="nil"/>
              <w:bottom w:val="single" w:sz="4" w:space="0" w:color="auto"/>
              <w:right w:val="single" w:sz="4" w:space="0" w:color="auto"/>
            </w:tcBorders>
            <w:shd w:val="clear" w:color="auto" w:fill="auto"/>
            <w:vAlign w:val="center"/>
            <w:hideMark/>
          </w:tcPr>
          <w:p w14:paraId="6AC25E2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definiscono un piano operativo e temporale per la cessazione del rilascio di credenziali proprietarie e per la predisposizione di un accesso SPID only nei confronti dei cittadini dotabili di SPID</w:t>
            </w:r>
          </w:p>
        </w:tc>
        <w:tc>
          <w:tcPr>
            <w:tcW w:w="940" w:type="dxa"/>
            <w:tcBorders>
              <w:top w:val="nil"/>
              <w:left w:val="nil"/>
              <w:bottom w:val="single" w:sz="4" w:space="0" w:color="auto"/>
              <w:right w:val="single" w:sz="4" w:space="0" w:color="auto"/>
            </w:tcBorders>
            <w:shd w:val="clear" w:color="auto" w:fill="auto"/>
            <w:vAlign w:val="center"/>
            <w:hideMark/>
          </w:tcPr>
          <w:p w14:paraId="3DA2CC7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r>
      <w:tr w:rsidR="00390427" w:rsidRPr="00390427" w14:paraId="203FFC71"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14BED4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CAP1.PA.LA67</w:t>
            </w:r>
          </w:p>
        </w:tc>
        <w:tc>
          <w:tcPr>
            <w:tcW w:w="3760" w:type="dxa"/>
            <w:tcBorders>
              <w:top w:val="nil"/>
              <w:left w:val="nil"/>
              <w:bottom w:val="single" w:sz="4" w:space="0" w:color="auto"/>
              <w:right w:val="single" w:sz="4" w:space="0" w:color="auto"/>
            </w:tcBorders>
            <w:shd w:val="clear" w:color="auto" w:fill="auto"/>
            <w:vAlign w:val="center"/>
            <w:hideMark/>
          </w:tcPr>
          <w:p w14:paraId="68DAC46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istituzioni scolastiche iniziano ad aderire a SIOPE+</w:t>
            </w:r>
          </w:p>
        </w:tc>
        <w:tc>
          <w:tcPr>
            <w:tcW w:w="800" w:type="dxa"/>
            <w:tcBorders>
              <w:top w:val="nil"/>
              <w:left w:val="nil"/>
              <w:bottom w:val="single" w:sz="4" w:space="0" w:color="auto"/>
              <w:right w:val="single" w:sz="4" w:space="0" w:color="auto"/>
            </w:tcBorders>
            <w:shd w:val="clear" w:color="auto" w:fill="auto"/>
            <w:vAlign w:val="center"/>
            <w:hideMark/>
          </w:tcPr>
          <w:p w14:paraId="2BADE78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luglio 2021  </w:t>
            </w:r>
          </w:p>
        </w:tc>
        <w:tc>
          <w:tcPr>
            <w:tcW w:w="3760" w:type="dxa"/>
            <w:tcBorders>
              <w:top w:val="nil"/>
              <w:left w:val="nil"/>
              <w:bottom w:val="single" w:sz="4" w:space="0" w:color="auto"/>
              <w:right w:val="single" w:sz="4" w:space="0" w:color="auto"/>
            </w:tcBorders>
            <w:shd w:val="clear" w:color="auto" w:fill="auto"/>
            <w:vAlign w:val="center"/>
            <w:hideMark/>
          </w:tcPr>
          <w:p w14:paraId="4997274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istituzioni scolastiche, in funzione delle proprie necessità, possono aderire a SIOPE+</w:t>
            </w:r>
          </w:p>
        </w:tc>
        <w:tc>
          <w:tcPr>
            <w:tcW w:w="1120" w:type="dxa"/>
            <w:tcBorders>
              <w:top w:val="nil"/>
              <w:left w:val="nil"/>
              <w:bottom w:val="single" w:sz="4" w:space="0" w:color="auto"/>
              <w:right w:val="single" w:sz="4" w:space="0" w:color="auto"/>
            </w:tcBorders>
            <w:shd w:val="clear" w:color="auto" w:fill="auto"/>
            <w:vAlign w:val="center"/>
            <w:hideMark/>
          </w:tcPr>
          <w:p w14:paraId="46CA28A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luglio 2021 (in corso)  </w:t>
            </w:r>
          </w:p>
        </w:tc>
        <w:tc>
          <w:tcPr>
            <w:tcW w:w="3760" w:type="dxa"/>
            <w:tcBorders>
              <w:top w:val="nil"/>
              <w:left w:val="nil"/>
              <w:bottom w:val="single" w:sz="4" w:space="0" w:color="auto"/>
              <w:right w:val="single" w:sz="4" w:space="0" w:color="auto"/>
            </w:tcBorders>
            <w:shd w:val="clear" w:color="auto" w:fill="auto"/>
            <w:vAlign w:val="center"/>
            <w:hideMark/>
          </w:tcPr>
          <w:p w14:paraId="54867D6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istituzioni scolastiche, in funzione delle proprie necessità, possono aderire a SIOPE+</w:t>
            </w:r>
          </w:p>
        </w:tc>
        <w:tc>
          <w:tcPr>
            <w:tcW w:w="940" w:type="dxa"/>
            <w:tcBorders>
              <w:top w:val="nil"/>
              <w:left w:val="nil"/>
              <w:bottom w:val="single" w:sz="4" w:space="0" w:color="auto"/>
              <w:right w:val="single" w:sz="8" w:space="0" w:color="auto"/>
            </w:tcBorders>
            <w:shd w:val="clear" w:color="auto" w:fill="auto"/>
            <w:vAlign w:val="center"/>
            <w:hideMark/>
          </w:tcPr>
          <w:p w14:paraId="468610D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57BE663D"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1C43EB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CAP1.PA.LA68</w:t>
            </w:r>
          </w:p>
        </w:tc>
        <w:tc>
          <w:tcPr>
            <w:tcW w:w="3760" w:type="dxa"/>
            <w:tcBorders>
              <w:top w:val="nil"/>
              <w:left w:val="nil"/>
              <w:bottom w:val="single" w:sz="4" w:space="0" w:color="auto"/>
              <w:right w:val="single" w:sz="4" w:space="0" w:color="auto"/>
            </w:tcBorders>
            <w:shd w:val="clear" w:color="auto" w:fill="auto"/>
            <w:vAlign w:val="center"/>
            <w:hideMark/>
          </w:tcPr>
          <w:p w14:paraId="70A6A6C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cessano il rilascio di credenziali proprietarie a cittadini dotabili di SPID</w:t>
            </w:r>
          </w:p>
        </w:tc>
        <w:tc>
          <w:tcPr>
            <w:tcW w:w="800" w:type="dxa"/>
            <w:tcBorders>
              <w:top w:val="nil"/>
              <w:left w:val="nil"/>
              <w:bottom w:val="single" w:sz="4" w:space="0" w:color="auto"/>
              <w:right w:val="single" w:sz="4" w:space="0" w:color="auto"/>
            </w:tcBorders>
            <w:shd w:val="clear" w:color="auto" w:fill="auto"/>
            <w:vAlign w:val="center"/>
            <w:hideMark/>
          </w:tcPr>
          <w:p w14:paraId="4459184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2021  </w:t>
            </w:r>
          </w:p>
        </w:tc>
        <w:tc>
          <w:tcPr>
            <w:tcW w:w="3760" w:type="dxa"/>
            <w:tcBorders>
              <w:top w:val="nil"/>
              <w:left w:val="nil"/>
              <w:bottom w:val="single" w:sz="4" w:space="0" w:color="auto"/>
              <w:right w:val="single" w:sz="4" w:space="0" w:color="auto"/>
            </w:tcBorders>
            <w:shd w:val="clear" w:color="auto" w:fill="auto"/>
            <w:vAlign w:val="center"/>
            <w:hideMark/>
          </w:tcPr>
          <w:p w14:paraId="2904481C"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cessano il rilascio di credenziali proprietarie a cittadini dotabili di SPID e/o CIE</w:t>
            </w:r>
          </w:p>
        </w:tc>
        <w:tc>
          <w:tcPr>
            <w:tcW w:w="1120" w:type="dxa"/>
            <w:tcBorders>
              <w:top w:val="nil"/>
              <w:left w:val="nil"/>
              <w:bottom w:val="single" w:sz="4" w:space="0" w:color="auto"/>
              <w:right w:val="single" w:sz="4" w:space="0" w:color="auto"/>
            </w:tcBorders>
            <w:shd w:val="clear" w:color="auto" w:fill="auto"/>
            <w:vAlign w:val="center"/>
            <w:hideMark/>
          </w:tcPr>
          <w:p w14:paraId="244F337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ottobre 2021 (in corso)  </w:t>
            </w:r>
          </w:p>
        </w:tc>
        <w:tc>
          <w:tcPr>
            <w:tcW w:w="3760" w:type="dxa"/>
            <w:tcBorders>
              <w:top w:val="nil"/>
              <w:left w:val="nil"/>
              <w:bottom w:val="single" w:sz="4" w:space="0" w:color="auto"/>
              <w:right w:val="single" w:sz="4" w:space="0" w:color="auto"/>
            </w:tcBorders>
            <w:shd w:val="clear" w:color="auto" w:fill="auto"/>
            <w:vAlign w:val="center"/>
            <w:hideMark/>
          </w:tcPr>
          <w:p w14:paraId="0D7709AC"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cessano il rilascio di credenziali proprietarie a cittadini dotabili di SPID e/o CIE</w:t>
            </w:r>
          </w:p>
        </w:tc>
        <w:tc>
          <w:tcPr>
            <w:tcW w:w="940" w:type="dxa"/>
            <w:tcBorders>
              <w:top w:val="nil"/>
              <w:left w:val="nil"/>
              <w:bottom w:val="single" w:sz="4" w:space="0" w:color="auto"/>
              <w:right w:val="single" w:sz="8" w:space="0" w:color="auto"/>
            </w:tcBorders>
            <w:shd w:val="clear" w:color="auto" w:fill="auto"/>
            <w:vAlign w:val="center"/>
            <w:hideMark/>
          </w:tcPr>
          <w:p w14:paraId="2ABAB4F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bl>
    <w:p w14:paraId="106CA400" w14:textId="77777777" w:rsidR="00A51B5D" w:rsidRDefault="00A51B5D">
      <w:r>
        <w:br w:type="page"/>
      </w:r>
    </w:p>
    <w:tbl>
      <w:tblPr>
        <w:tblW w:w="15461" w:type="dxa"/>
        <w:tblCellMar>
          <w:left w:w="70" w:type="dxa"/>
          <w:right w:w="70" w:type="dxa"/>
        </w:tblCellMar>
        <w:tblLook w:val="04A0" w:firstRow="1" w:lastRow="0" w:firstColumn="1" w:lastColumn="0" w:noHBand="0" w:noVBand="1"/>
      </w:tblPr>
      <w:tblGrid>
        <w:gridCol w:w="1080"/>
        <w:gridCol w:w="3760"/>
        <w:gridCol w:w="1038"/>
        <w:gridCol w:w="3760"/>
        <w:gridCol w:w="1120"/>
        <w:gridCol w:w="3760"/>
        <w:gridCol w:w="943"/>
      </w:tblGrid>
      <w:tr w:rsidR="00A51B5D" w:rsidRPr="00390427" w14:paraId="1924832E" w14:textId="77777777" w:rsidTr="00A51B5D">
        <w:trPr>
          <w:trHeight w:val="315"/>
        </w:trPr>
        <w:tc>
          <w:tcPr>
            <w:tcW w:w="15461"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A89879E"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lang w:eastAsia="it-IT"/>
              </w:rPr>
            </w:pPr>
            <w:r w:rsidRPr="00390427">
              <w:rPr>
                <w:rFonts w:ascii="Calibri" w:eastAsia="Times New Roman" w:hAnsi="Calibri" w:cs="Calibri"/>
                <w:b/>
                <w:bCs/>
                <w:color w:val="000000"/>
                <w:lang w:eastAsia="it-IT"/>
              </w:rPr>
              <w:lastRenderedPageBreak/>
              <w:t>Linea d'Azione</w:t>
            </w:r>
          </w:p>
        </w:tc>
      </w:tr>
      <w:tr w:rsidR="00A51B5D" w:rsidRPr="00390427" w14:paraId="09C79B49" w14:textId="77777777" w:rsidTr="00A51B5D">
        <w:trPr>
          <w:trHeight w:val="315"/>
        </w:trPr>
        <w:tc>
          <w:tcPr>
            <w:tcW w:w="1080" w:type="dxa"/>
            <w:vMerge w:val="restart"/>
            <w:tcBorders>
              <w:top w:val="nil"/>
              <w:left w:val="single" w:sz="8" w:space="0" w:color="auto"/>
              <w:bottom w:val="single" w:sz="8" w:space="0" w:color="000000"/>
              <w:right w:val="single" w:sz="4" w:space="0" w:color="auto"/>
            </w:tcBorders>
            <w:shd w:val="clear" w:color="auto" w:fill="auto"/>
            <w:vAlign w:val="center"/>
            <w:hideMark/>
          </w:tcPr>
          <w:p w14:paraId="28C939D4"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Obiettivo </w:t>
            </w:r>
            <w:r w:rsidRPr="00390427">
              <w:rPr>
                <w:rFonts w:ascii="Calibri" w:eastAsia="Times New Roman" w:hAnsi="Calibri" w:cs="Calibri"/>
                <w:b/>
                <w:bCs/>
                <w:color w:val="000000"/>
                <w:sz w:val="18"/>
                <w:szCs w:val="18"/>
                <w:lang w:eastAsia="it-IT"/>
              </w:rPr>
              <w:br/>
              <w:t>L.A.</w:t>
            </w:r>
          </w:p>
        </w:tc>
        <w:tc>
          <w:tcPr>
            <w:tcW w:w="4798" w:type="dxa"/>
            <w:gridSpan w:val="2"/>
            <w:tcBorders>
              <w:top w:val="single" w:sz="4" w:space="0" w:color="auto"/>
              <w:left w:val="nil"/>
              <w:bottom w:val="single" w:sz="4" w:space="0" w:color="auto"/>
              <w:right w:val="nil"/>
            </w:tcBorders>
            <w:shd w:val="clear" w:color="auto" w:fill="auto"/>
            <w:vAlign w:val="center"/>
            <w:hideMark/>
          </w:tcPr>
          <w:p w14:paraId="4ABC43BF"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1° Piano 2020-2022</w:t>
            </w:r>
          </w:p>
        </w:tc>
        <w:tc>
          <w:tcPr>
            <w:tcW w:w="4880" w:type="dxa"/>
            <w:gridSpan w:val="2"/>
            <w:tcBorders>
              <w:top w:val="single" w:sz="4" w:space="0" w:color="auto"/>
              <w:left w:val="single" w:sz="4" w:space="0" w:color="auto"/>
              <w:bottom w:val="single" w:sz="4" w:space="0" w:color="auto"/>
              <w:right w:val="nil"/>
            </w:tcBorders>
            <w:shd w:val="clear" w:color="auto" w:fill="auto"/>
            <w:vAlign w:val="center"/>
            <w:hideMark/>
          </w:tcPr>
          <w:p w14:paraId="337FC609"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2° Piano 2021-2023</w:t>
            </w:r>
          </w:p>
        </w:tc>
        <w:tc>
          <w:tcPr>
            <w:tcW w:w="4700"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14:paraId="47DD2455"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3° Piano 2020-2024</w:t>
            </w:r>
          </w:p>
        </w:tc>
      </w:tr>
      <w:tr w:rsidR="00A51B5D" w:rsidRPr="00390427" w14:paraId="13DF77CB" w14:textId="77777777" w:rsidTr="00A51B5D">
        <w:trPr>
          <w:trHeight w:val="495"/>
        </w:trPr>
        <w:tc>
          <w:tcPr>
            <w:tcW w:w="1080" w:type="dxa"/>
            <w:vMerge/>
            <w:tcBorders>
              <w:top w:val="nil"/>
              <w:left w:val="single" w:sz="8" w:space="0" w:color="auto"/>
              <w:bottom w:val="single" w:sz="8" w:space="0" w:color="000000"/>
              <w:right w:val="single" w:sz="4" w:space="0" w:color="auto"/>
            </w:tcBorders>
            <w:vAlign w:val="center"/>
            <w:hideMark/>
          </w:tcPr>
          <w:p w14:paraId="499D0128" w14:textId="77777777" w:rsidR="00A51B5D" w:rsidRPr="00390427" w:rsidRDefault="00A51B5D"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p>
        </w:tc>
        <w:tc>
          <w:tcPr>
            <w:tcW w:w="3760" w:type="dxa"/>
            <w:tcBorders>
              <w:top w:val="nil"/>
              <w:left w:val="nil"/>
              <w:bottom w:val="single" w:sz="8" w:space="0" w:color="auto"/>
              <w:right w:val="single" w:sz="4" w:space="0" w:color="auto"/>
            </w:tcBorders>
            <w:shd w:val="clear" w:color="auto" w:fill="auto"/>
            <w:vAlign w:val="center"/>
            <w:hideMark/>
          </w:tcPr>
          <w:p w14:paraId="274239DE"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038" w:type="dxa"/>
            <w:tcBorders>
              <w:top w:val="nil"/>
              <w:left w:val="nil"/>
              <w:bottom w:val="single" w:sz="8" w:space="0" w:color="auto"/>
              <w:right w:val="single" w:sz="4" w:space="0" w:color="auto"/>
            </w:tcBorders>
            <w:shd w:val="clear" w:color="auto" w:fill="auto"/>
            <w:vAlign w:val="center"/>
            <w:hideMark/>
          </w:tcPr>
          <w:p w14:paraId="32B2C76D"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0F9968E8"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20" w:type="dxa"/>
            <w:tcBorders>
              <w:top w:val="nil"/>
              <w:left w:val="nil"/>
              <w:bottom w:val="single" w:sz="8" w:space="0" w:color="auto"/>
              <w:right w:val="single" w:sz="4" w:space="0" w:color="auto"/>
            </w:tcBorders>
            <w:shd w:val="clear" w:color="auto" w:fill="auto"/>
            <w:vAlign w:val="center"/>
            <w:hideMark/>
          </w:tcPr>
          <w:p w14:paraId="0B5A4AA0"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21ED9466"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940" w:type="dxa"/>
            <w:tcBorders>
              <w:top w:val="nil"/>
              <w:left w:val="nil"/>
              <w:bottom w:val="single" w:sz="8" w:space="0" w:color="auto"/>
              <w:right w:val="single" w:sz="8" w:space="0" w:color="auto"/>
            </w:tcBorders>
            <w:shd w:val="clear" w:color="auto" w:fill="auto"/>
            <w:vAlign w:val="center"/>
            <w:hideMark/>
          </w:tcPr>
          <w:p w14:paraId="3262D057"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r>
      <w:tr w:rsidR="00390427" w:rsidRPr="00390427" w14:paraId="7E90678F"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E651691" w14:textId="15EBC18B"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CAP1.PA.LA69</w:t>
            </w:r>
          </w:p>
        </w:tc>
        <w:tc>
          <w:tcPr>
            <w:tcW w:w="3760" w:type="dxa"/>
            <w:tcBorders>
              <w:top w:val="nil"/>
              <w:left w:val="nil"/>
              <w:bottom w:val="single" w:sz="4" w:space="0" w:color="auto"/>
              <w:right w:val="single" w:sz="4" w:space="0" w:color="auto"/>
            </w:tcBorders>
            <w:shd w:val="clear" w:color="auto" w:fill="auto"/>
            <w:vAlign w:val="center"/>
            <w:hideMark/>
          </w:tcPr>
          <w:p w14:paraId="471F7B7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adottano lo SPID by default: le nuove applicazioni devono nascere SPID only a meno che non ci siano vincoli normativi o tecnologici, se dedicate a soggetti dotabili di SPID</w:t>
            </w:r>
          </w:p>
        </w:tc>
        <w:tc>
          <w:tcPr>
            <w:tcW w:w="1038" w:type="dxa"/>
            <w:tcBorders>
              <w:top w:val="nil"/>
              <w:left w:val="nil"/>
              <w:bottom w:val="single" w:sz="4" w:space="0" w:color="auto"/>
              <w:right w:val="single" w:sz="4" w:space="0" w:color="auto"/>
            </w:tcBorders>
            <w:shd w:val="clear" w:color="auto" w:fill="auto"/>
            <w:vAlign w:val="center"/>
            <w:hideMark/>
          </w:tcPr>
          <w:p w14:paraId="1DCF4B7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2021  </w:t>
            </w:r>
          </w:p>
        </w:tc>
        <w:tc>
          <w:tcPr>
            <w:tcW w:w="3760" w:type="dxa"/>
            <w:tcBorders>
              <w:top w:val="nil"/>
              <w:left w:val="nil"/>
              <w:bottom w:val="single" w:sz="4" w:space="0" w:color="auto"/>
              <w:right w:val="single" w:sz="4" w:space="0" w:color="auto"/>
            </w:tcBorders>
            <w:shd w:val="clear" w:color="auto" w:fill="auto"/>
            <w:vAlign w:val="center"/>
            <w:hideMark/>
          </w:tcPr>
          <w:p w14:paraId="348EA43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adottano lo SPID e la CIE by default: le nuove applicazioni devono nascere SPID e CIE only a meno che non ci siano vincoli normativi o tecnologici, se dedicate a soggetti dotabili di SPID o CIE</w:t>
            </w:r>
          </w:p>
        </w:tc>
        <w:tc>
          <w:tcPr>
            <w:tcW w:w="1120" w:type="dxa"/>
            <w:tcBorders>
              <w:top w:val="nil"/>
              <w:left w:val="nil"/>
              <w:bottom w:val="single" w:sz="4" w:space="0" w:color="auto"/>
              <w:right w:val="single" w:sz="4" w:space="0" w:color="auto"/>
            </w:tcBorders>
            <w:shd w:val="clear" w:color="auto" w:fill="auto"/>
            <w:vAlign w:val="center"/>
            <w:hideMark/>
          </w:tcPr>
          <w:p w14:paraId="5F3DB9B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ottobre 2021 (in corso)  </w:t>
            </w:r>
          </w:p>
        </w:tc>
        <w:tc>
          <w:tcPr>
            <w:tcW w:w="3760" w:type="dxa"/>
            <w:tcBorders>
              <w:top w:val="nil"/>
              <w:left w:val="nil"/>
              <w:bottom w:val="single" w:sz="4" w:space="0" w:color="auto"/>
              <w:right w:val="single" w:sz="4" w:space="0" w:color="auto"/>
            </w:tcBorders>
            <w:shd w:val="clear" w:color="auto" w:fill="auto"/>
            <w:vAlign w:val="center"/>
            <w:hideMark/>
          </w:tcPr>
          <w:p w14:paraId="5E0AEAD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e i gestori di pubblici servizi interessati adottano lo SPID e la CIE by default: le nuove applicazioni devono nascere SPID e CIE only a meno che non ci siano vincoli normativi o tecnologici, se dedicate a soggetti dotabili di SPID o CIE. Le PA che intendono adottare lo SPID di livello 2 e 3 devono anche adottare il “Login with eIDAS” per l’accesso transfrontaliero ai propri servizi.</w:t>
            </w:r>
          </w:p>
        </w:tc>
        <w:tc>
          <w:tcPr>
            <w:tcW w:w="940" w:type="dxa"/>
            <w:tcBorders>
              <w:top w:val="nil"/>
              <w:left w:val="nil"/>
              <w:bottom w:val="single" w:sz="4" w:space="0" w:color="auto"/>
              <w:right w:val="single" w:sz="8" w:space="0" w:color="auto"/>
            </w:tcBorders>
            <w:shd w:val="clear" w:color="auto" w:fill="auto"/>
            <w:vAlign w:val="center"/>
            <w:hideMark/>
          </w:tcPr>
          <w:p w14:paraId="63DF0A0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13240E9C"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4E1E1E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CAP1.PA.LA70</w:t>
            </w:r>
          </w:p>
        </w:tc>
        <w:tc>
          <w:tcPr>
            <w:tcW w:w="3760" w:type="dxa"/>
            <w:tcBorders>
              <w:top w:val="nil"/>
              <w:left w:val="nil"/>
              <w:bottom w:val="single" w:sz="4" w:space="0" w:color="auto"/>
              <w:right w:val="single" w:sz="4" w:space="0" w:color="auto"/>
            </w:tcBorders>
            <w:shd w:val="clear" w:color="auto" w:fill="auto"/>
            <w:vAlign w:val="center"/>
            <w:hideMark/>
          </w:tcPr>
          <w:p w14:paraId="68A4CFB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I Comuni subentrano in ANPR</w:t>
            </w:r>
          </w:p>
        </w:tc>
        <w:tc>
          <w:tcPr>
            <w:tcW w:w="1038" w:type="dxa"/>
            <w:tcBorders>
              <w:top w:val="nil"/>
              <w:left w:val="nil"/>
              <w:bottom w:val="single" w:sz="4" w:space="0" w:color="auto"/>
              <w:right w:val="single" w:sz="4" w:space="0" w:color="auto"/>
            </w:tcBorders>
            <w:shd w:val="clear" w:color="auto" w:fill="auto"/>
            <w:vAlign w:val="center"/>
            <w:hideMark/>
          </w:tcPr>
          <w:p w14:paraId="15C13CB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2021 </w:t>
            </w:r>
          </w:p>
        </w:tc>
        <w:tc>
          <w:tcPr>
            <w:tcW w:w="3760" w:type="dxa"/>
            <w:tcBorders>
              <w:top w:val="nil"/>
              <w:left w:val="nil"/>
              <w:bottom w:val="single" w:sz="4" w:space="0" w:color="auto"/>
              <w:right w:val="single" w:sz="4" w:space="0" w:color="auto"/>
            </w:tcBorders>
            <w:shd w:val="clear" w:color="auto" w:fill="auto"/>
            <w:vAlign w:val="center"/>
            <w:hideMark/>
          </w:tcPr>
          <w:p w14:paraId="3142991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I Comuni subentrano in ANPR</w:t>
            </w:r>
          </w:p>
        </w:tc>
        <w:tc>
          <w:tcPr>
            <w:tcW w:w="1120" w:type="dxa"/>
            <w:tcBorders>
              <w:top w:val="nil"/>
              <w:left w:val="nil"/>
              <w:bottom w:val="single" w:sz="4" w:space="0" w:color="auto"/>
              <w:right w:val="single" w:sz="4" w:space="0" w:color="auto"/>
            </w:tcBorders>
            <w:shd w:val="clear" w:color="auto" w:fill="auto"/>
            <w:vAlign w:val="center"/>
            <w:hideMark/>
          </w:tcPr>
          <w:p w14:paraId="62F7B6B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Entro dicembre 2021  </w:t>
            </w:r>
          </w:p>
        </w:tc>
        <w:tc>
          <w:tcPr>
            <w:tcW w:w="3760" w:type="dxa"/>
            <w:tcBorders>
              <w:top w:val="nil"/>
              <w:left w:val="nil"/>
              <w:bottom w:val="single" w:sz="4" w:space="0" w:color="auto"/>
              <w:right w:val="single" w:sz="4" w:space="0" w:color="auto"/>
            </w:tcBorders>
            <w:shd w:val="clear" w:color="auto" w:fill="auto"/>
            <w:vAlign w:val="center"/>
            <w:hideMark/>
          </w:tcPr>
          <w:p w14:paraId="5429362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I Comuni subentrano in ANPR</w:t>
            </w:r>
          </w:p>
        </w:tc>
        <w:tc>
          <w:tcPr>
            <w:tcW w:w="940" w:type="dxa"/>
            <w:tcBorders>
              <w:top w:val="nil"/>
              <w:left w:val="nil"/>
              <w:bottom w:val="single" w:sz="4" w:space="0" w:color="auto"/>
              <w:right w:val="single" w:sz="4" w:space="0" w:color="auto"/>
            </w:tcBorders>
            <w:shd w:val="clear" w:color="auto" w:fill="auto"/>
            <w:vAlign w:val="center"/>
            <w:hideMark/>
          </w:tcPr>
          <w:p w14:paraId="4C0FBF2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Entro dicembre 2021  </w:t>
            </w:r>
          </w:p>
        </w:tc>
      </w:tr>
      <w:tr w:rsidR="00390427" w:rsidRPr="00390427" w14:paraId="178719A1"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951444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CAP1.PA.LA71</w:t>
            </w:r>
          </w:p>
        </w:tc>
        <w:tc>
          <w:tcPr>
            <w:tcW w:w="3760" w:type="dxa"/>
            <w:tcBorders>
              <w:top w:val="nil"/>
              <w:left w:val="nil"/>
              <w:bottom w:val="single" w:sz="4" w:space="0" w:color="auto"/>
              <w:right w:val="single" w:sz="4" w:space="0" w:color="auto"/>
            </w:tcBorders>
            <w:shd w:val="clear" w:color="auto" w:fill="auto"/>
            <w:vAlign w:val="center"/>
            <w:hideMark/>
          </w:tcPr>
          <w:p w14:paraId="6DB5F85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completano il passaggio alla Piattaforma pagoPA per tutti gli incassi delle PA centrali e locali</w:t>
            </w:r>
          </w:p>
        </w:tc>
        <w:tc>
          <w:tcPr>
            <w:tcW w:w="1038" w:type="dxa"/>
            <w:tcBorders>
              <w:top w:val="nil"/>
              <w:left w:val="nil"/>
              <w:bottom w:val="single" w:sz="4" w:space="0" w:color="auto"/>
              <w:right w:val="single" w:sz="4" w:space="0" w:color="auto"/>
            </w:tcBorders>
            <w:shd w:val="clear" w:color="auto" w:fill="auto"/>
            <w:vAlign w:val="center"/>
            <w:hideMark/>
          </w:tcPr>
          <w:p w14:paraId="79050E8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2021 </w:t>
            </w:r>
          </w:p>
        </w:tc>
        <w:tc>
          <w:tcPr>
            <w:tcW w:w="3760" w:type="dxa"/>
            <w:tcBorders>
              <w:top w:val="nil"/>
              <w:left w:val="nil"/>
              <w:bottom w:val="single" w:sz="4" w:space="0" w:color="auto"/>
              <w:right w:val="single" w:sz="4" w:space="0" w:color="auto"/>
            </w:tcBorders>
            <w:shd w:val="clear" w:color="auto" w:fill="auto"/>
            <w:vAlign w:val="center"/>
            <w:hideMark/>
          </w:tcPr>
          <w:p w14:paraId="520C1542"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completano il passaggio alla Piattaforma pagoPA per tutti gli incassi delle PA centrali e locali</w:t>
            </w:r>
          </w:p>
        </w:tc>
        <w:tc>
          <w:tcPr>
            <w:tcW w:w="1120" w:type="dxa"/>
            <w:tcBorders>
              <w:top w:val="nil"/>
              <w:left w:val="nil"/>
              <w:bottom w:val="single" w:sz="4" w:space="0" w:color="auto"/>
              <w:right w:val="single" w:sz="4" w:space="0" w:color="auto"/>
            </w:tcBorders>
            <w:shd w:val="clear" w:color="auto" w:fill="auto"/>
            <w:vAlign w:val="center"/>
            <w:hideMark/>
          </w:tcPr>
          <w:p w14:paraId="34985D5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2021 </w:t>
            </w:r>
          </w:p>
        </w:tc>
        <w:tc>
          <w:tcPr>
            <w:tcW w:w="3760" w:type="dxa"/>
            <w:tcBorders>
              <w:top w:val="nil"/>
              <w:left w:val="nil"/>
              <w:bottom w:val="single" w:sz="4" w:space="0" w:color="auto"/>
              <w:right w:val="single" w:sz="4" w:space="0" w:color="auto"/>
            </w:tcBorders>
            <w:shd w:val="clear" w:color="auto" w:fill="auto"/>
            <w:vAlign w:val="center"/>
            <w:hideMark/>
          </w:tcPr>
          <w:p w14:paraId="5440CC2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completano il passaggio alla Piattaforma pagoPA per tutti gli incassi delle PA centrali e locali</w:t>
            </w:r>
          </w:p>
        </w:tc>
        <w:tc>
          <w:tcPr>
            <w:tcW w:w="940" w:type="dxa"/>
            <w:tcBorders>
              <w:top w:val="nil"/>
              <w:left w:val="nil"/>
              <w:bottom w:val="single" w:sz="4" w:space="0" w:color="auto"/>
              <w:right w:val="single" w:sz="4" w:space="0" w:color="auto"/>
            </w:tcBorders>
            <w:shd w:val="clear" w:color="auto" w:fill="auto"/>
            <w:vAlign w:val="center"/>
            <w:hideMark/>
          </w:tcPr>
          <w:p w14:paraId="54E6062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2021 </w:t>
            </w:r>
          </w:p>
        </w:tc>
      </w:tr>
      <w:tr w:rsidR="00390427" w:rsidRPr="00390427" w14:paraId="54A55FF4"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4EEFAF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CAP1.PA.LA72</w:t>
            </w:r>
          </w:p>
        </w:tc>
        <w:tc>
          <w:tcPr>
            <w:tcW w:w="3760" w:type="dxa"/>
            <w:tcBorders>
              <w:top w:val="nil"/>
              <w:left w:val="nil"/>
              <w:bottom w:val="single" w:sz="4" w:space="0" w:color="auto"/>
              <w:right w:val="single" w:sz="4" w:space="0" w:color="auto"/>
            </w:tcBorders>
            <w:shd w:val="clear" w:color="auto" w:fill="auto"/>
            <w:vAlign w:val="center"/>
            <w:hideMark/>
          </w:tcPr>
          <w:p w14:paraId="4F1DFE5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4CB4179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33F8F11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adeguarsi alle evoluzioni previste dall’ecosistema SPID (tra cui OpenID connect, servizi per i minori e gestione degli attributi qualificati)</w:t>
            </w:r>
          </w:p>
        </w:tc>
        <w:tc>
          <w:tcPr>
            <w:tcW w:w="1120" w:type="dxa"/>
            <w:tcBorders>
              <w:top w:val="nil"/>
              <w:left w:val="nil"/>
              <w:bottom w:val="single" w:sz="4" w:space="0" w:color="auto"/>
              <w:right w:val="single" w:sz="4" w:space="0" w:color="auto"/>
            </w:tcBorders>
            <w:shd w:val="clear" w:color="auto" w:fill="auto"/>
            <w:vAlign w:val="center"/>
            <w:hideMark/>
          </w:tcPr>
          <w:p w14:paraId="7045C9E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c>
          <w:tcPr>
            <w:tcW w:w="3760" w:type="dxa"/>
            <w:tcBorders>
              <w:top w:val="nil"/>
              <w:left w:val="nil"/>
              <w:bottom w:val="single" w:sz="4" w:space="0" w:color="auto"/>
              <w:right w:val="single" w:sz="4" w:space="0" w:color="auto"/>
            </w:tcBorders>
            <w:shd w:val="clear" w:color="auto" w:fill="auto"/>
            <w:vAlign w:val="center"/>
            <w:hideMark/>
          </w:tcPr>
          <w:p w14:paraId="405FBF3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adeguarsi alle evoluzioni previste dall’ecosistema SPID (tra cui OpenID Connect, servizi per i minori e gestione degli attributi qualificati)</w:t>
            </w:r>
          </w:p>
        </w:tc>
        <w:tc>
          <w:tcPr>
            <w:tcW w:w="940" w:type="dxa"/>
            <w:tcBorders>
              <w:top w:val="nil"/>
              <w:left w:val="nil"/>
              <w:bottom w:val="single" w:sz="4" w:space="0" w:color="auto"/>
              <w:right w:val="single" w:sz="8" w:space="0" w:color="auto"/>
            </w:tcBorders>
            <w:shd w:val="clear" w:color="auto" w:fill="auto"/>
            <w:vAlign w:val="center"/>
            <w:hideMark/>
          </w:tcPr>
          <w:p w14:paraId="34379D9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315103B2"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75EF30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CAP1.PA.LA73</w:t>
            </w:r>
          </w:p>
        </w:tc>
        <w:tc>
          <w:tcPr>
            <w:tcW w:w="3760" w:type="dxa"/>
            <w:tcBorders>
              <w:top w:val="nil"/>
              <w:left w:val="nil"/>
              <w:bottom w:val="single" w:sz="4" w:space="0" w:color="auto"/>
              <w:right w:val="single" w:sz="4" w:space="0" w:color="auto"/>
            </w:tcBorders>
            <w:shd w:val="clear" w:color="auto" w:fill="auto"/>
            <w:vAlign w:val="center"/>
            <w:hideMark/>
          </w:tcPr>
          <w:p w14:paraId="409E0FC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0AD06D5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7900260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aderenti a pagoPA e App IO assicurano per entrambe le piattaforme l’attivazione di nuovi servizi in linea con i target sopra descritti e secondo le modalità attuative definite nell’ambito del Piano Nazionale di Ripresa e Resilienza (PNRR)</w:t>
            </w:r>
          </w:p>
        </w:tc>
        <w:tc>
          <w:tcPr>
            <w:tcW w:w="1120" w:type="dxa"/>
            <w:tcBorders>
              <w:top w:val="nil"/>
              <w:left w:val="nil"/>
              <w:bottom w:val="single" w:sz="4" w:space="0" w:color="auto"/>
              <w:right w:val="single" w:sz="4" w:space="0" w:color="auto"/>
            </w:tcBorders>
            <w:shd w:val="clear" w:color="auto" w:fill="auto"/>
            <w:vAlign w:val="center"/>
            <w:hideMark/>
          </w:tcPr>
          <w:p w14:paraId="15BEEE6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c>
          <w:tcPr>
            <w:tcW w:w="3760" w:type="dxa"/>
            <w:tcBorders>
              <w:top w:val="nil"/>
              <w:left w:val="nil"/>
              <w:bottom w:val="single" w:sz="4" w:space="0" w:color="auto"/>
              <w:right w:val="single" w:sz="4" w:space="0" w:color="auto"/>
            </w:tcBorders>
            <w:shd w:val="clear" w:color="auto" w:fill="auto"/>
            <w:vAlign w:val="center"/>
            <w:hideMark/>
          </w:tcPr>
          <w:p w14:paraId="58CD7B0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aderenti a pagoPA e App IO assicurano per entrambe le piattaforme l’attivazione di nuovi servizi in linea con i target sopra descritti e secondo le modalità attuative definite nell’ambito del Piano Nazionale di Ripresa e Resilienza (PNRR)</w:t>
            </w:r>
          </w:p>
        </w:tc>
        <w:tc>
          <w:tcPr>
            <w:tcW w:w="940" w:type="dxa"/>
            <w:tcBorders>
              <w:top w:val="nil"/>
              <w:left w:val="nil"/>
              <w:bottom w:val="single" w:sz="4" w:space="0" w:color="auto"/>
              <w:right w:val="single" w:sz="8" w:space="0" w:color="auto"/>
            </w:tcBorders>
            <w:shd w:val="clear" w:color="auto" w:fill="auto"/>
            <w:vAlign w:val="center"/>
            <w:hideMark/>
          </w:tcPr>
          <w:p w14:paraId="5DF5948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r>
      <w:tr w:rsidR="00390427" w:rsidRPr="00390427" w14:paraId="1DB67884"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C07A40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CAP1.PA.LA74</w:t>
            </w:r>
          </w:p>
        </w:tc>
        <w:tc>
          <w:tcPr>
            <w:tcW w:w="3760" w:type="dxa"/>
            <w:tcBorders>
              <w:top w:val="nil"/>
              <w:left w:val="nil"/>
              <w:bottom w:val="single" w:sz="4" w:space="0" w:color="auto"/>
              <w:right w:val="single" w:sz="4" w:space="0" w:color="auto"/>
            </w:tcBorders>
            <w:shd w:val="clear" w:color="auto" w:fill="auto"/>
            <w:vAlign w:val="center"/>
            <w:hideMark/>
          </w:tcPr>
          <w:p w14:paraId="1C2C444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694470A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1A258C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4C33FD1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1823E4C"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aderenti a pagoPA e App IO assicurano per entrambe le piattaforme l’attivazione di nuovi servizi in linea con i target sopra descritti e secondo le modalità attuative definite nell’ambito del Piano Nazionale di Ripresa e Resilienza (PNRR)</w:t>
            </w:r>
          </w:p>
        </w:tc>
        <w:tc>
          <w:tcPr>
            <w:tcW w:w="940" w:type="dxa"/>
            <w:tcBorders>
              <w:top w:val="nil"/>
              <w:left w:val="nil"/>
              <w:bottom w:val="single" w:sz="4" w:space="0" w:color="auto"/>
              <w:right w:val="single" w:sz="8" w:space="0" w:color="auto"/>
            </w:tcBorders>
            <w:shd w:val="clear" w:color="auto" w:fill="auto"/>
            <w:vAlign w:val="center"/>
            <w:hideMark/>
          </w:tcPr>
          <w:p w14:paraId="7C9C92B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2024 </w:t>
            </w:r>
          </w:p>
        </w:tc>
      </w:tr>
      <w:tr w:rsidR="00390427" w:rsidRPr="00390427" w14:paraId="4D3FE4F8"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C3A17C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CAP1.PA.LA77</w:t>
            </w:r>
          </w:p>
        </w:tc>
        <w:tc>
          <w:tcPr>
            <w:tcW w:w="3760" w:type="dxa"/>
            <w:tcBorders>
              <w:top w:val="nil"/>
              <w:left w:val="nil"/>
              <w:bottom w:val="single" w:sz="4" w:space="0" w:color="auto"/>
              <w:right w:val="single" w:sz="4" w:space="0" w:color="auto"/>
            </w:tcBorders>
            <w:shd w:val="clear" w:color="auto" w:fill="auto"/>
            <w:vAlign w:val="center"/>
            <w:hideMark/>
          </w:tcPr>
          <w:p w14:paraId="5BAEED2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si predispongono per interagire con INAD per l’acquisizione dei domicili digitali dei soggetti in essa presenti</w:t>
            </w:r>
          </w:p>
        </w:tc>
        <w:tc>
          <w:tcPr>
            <w:tcW w:w="1038" w:type="dxa"/>
            <w:tcBorders>
              <w:top w:val="nil"/>
              <w:left w:val="nil"/>
              <w:bottom w:val="single" w:sz="4" w:space="0" w:color="auto"/>
              <w:right w:val="single" w:sz="4" w:space="0" w:color="auto"/>
            </w:tcBorders>
            <w:shd w:val="clear" w:color="auto" w:fill="auto"/>
            <w:vAlign w:val="center"/>
            <w:hideMark/>
          </w:tcPr>
          <w:p w14:paraId="60CC01E6"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marzo 2021  </w:t>
            </w:r>
          </w:p>
        </w:tc>
        <w:tc>
          <w:tcPr>
            <w:tcW w:w="3760" w:type="dxa"/>
            <w:tcBorders>
              <w:top w:val="nil"/>
              <w:left w:val="nil"/>
              <w:bottom w:val="single" w:sz="4" w:space="0" w:color="auto"/>
              <w:right w:val="single" w:sz="4" w:space="0" w:color="auto"/>
            </w:tcBorders>
            <w:shd w:val="clear" w:color="auto" w:fill="auto"/>
            <w:vAlign w:val="center"/>
            <w:hideMark/>
          </w:tcPr>
          <w:p w14:paraId="0D71B88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si integrano con le API INAD per l’acquisizione dei domicili digitali dei soggetti in essa presenti</w:t>
            </w:r>
          </w:p>
        </w:tc>
        <w:tc>
          <w:tcPr>
            <w:tcW w:w="1120" w:type="dxa"/>
            <w:tcBorders>
              <w:top w:val="nil"/>
              <w:left w:val="nil"/>
              <w:bottom w:val="single" w:sz="4" w:space="0" w:color="auto"/>
              <w:right w:val="single" w:sz="4" w:space="0" w:color="auto"/>
            </w:tcBorders>
            <w:shd w:val="clear" w:color="auto" w:fill="auto"/>
            <w:vAlign w:val="center"/>
            <w:hideMark/>
          </w:tcPr>
          <w:p w14:paraId="5EC038E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febbraio 2022  </w:t>
            </w:r>
          </w:p>
        </w:tc>
        <w:tc>
          <w:tcPr>
            <w:tcW w:w="3760" w:type="dxa"/>
            <w:tcBorders>
              <w:top w:val="nil"/>
              <w:left w:val="nil"/>
              <w:bottom w:val="single" w:sz="4" w:space="0" w:color="auto"/>
              <w:right w:val="single" w:sz="4" w:space="0" w:color="auto"/>
            </w:tcBorders>
            <w:shd w:val="clear" w:color="auto" w:fill="auto"/>
            <w:vAlign w:val="center"/>
            <w:hideMark/>
          </w:tcPr>
          <w:p w14:paraId="0F53E26B"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si integrano con le API INAD per l’acquisizione dei domicili digitali dei soggetti in essa presenti</w:t>
            </w:r>
          </w:p>
        </w:tc>
        <w:tc>
          <w:tcPr>
            <w:tcW w:w="940" w:type="dxa"/>
            <w:tcBorders>
              <w:top w:val="nil"/>
              <w:left w:val="nil"/>
              <w:bottom w:val="single" w:sz="4" w:space="0" w:color="auto"/>
              <w:right w:val="single" w:sz="4" w:space="0" w:color="auto"/>
            </w:tcBorders>
            <w:shd w:val="clear" w:color="auto" w:fill="auto"/>
            <w:vAlign w:val="center"/>
            <w:hideMark/>
          </w:tcPr>
          <w:p w14:paraId="2021D6F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febbraio 2022  </w:t>
            </w:r>
          </w:p>
        </w:tc>
      </w:tr>
      <w:tr w:rsidR="00390427" w:rsidRPr="00390427" w14:paraId="68683282"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273FDCE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CAP1.PA.LA79</w:t>
            </w:r>
          </w:p>
        </w:tc>
        <w:tc>
          <w:tcPr>
            <w:tcW w:w="3760" w:type="dxa"/>
            <w:tcBorders>
              <w:top w:val="nil"/>
              <w:left w:val="nil"/>
              <w:bottom w:val="single" w:sz="4" w:space="0" w:color="auto"/>
              <w:right w:val="single" w:sz="4" w:space="0" w:color="auto"/>
            </w:tcBorders>
            <w:shd w:val="clear" w:color="auto" w:fill="auto"/>
            <w:vAlign w:val="center"/>
            <w:hideMark/>
          </w:tcPr>
          <w:p w14:paraId="580974F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7DD8D74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2C8D8A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centrali e i Comuni, in linea con i target sopra descritti e secondo la roadmap di attuazione prevista dal Piano Nazionale di Ripresa e Resilienza (PNRR), dovranno integrarsi alla Piattaforma Notifiche Digitali</w:t>
            </w:r>
          </w:p>
        </w:tc>
        <w:tc>
          <w:tcPr>
            <w:tcW w:w="1120" w:type="dxa"/>
            <w:tcBorders>
              <w:top w:val="nil"/>
              <w:left w:val="nil"/>
              <w:bottom w:val="single" w:sz="4" w:space="0" w:color="auto"/>
              <w:right w:val="single" w:sz="4" w:space="0" w:color="auto"/>
            </w:tcBorders>
            <w:shd w:val="clear" w:color="auto" w:fill="auto"/>
            <w:vAlign w:val="center"/>
            <w:hideMark/>
          </w:tcPr>
          <w:p w14:paraId="6E2C485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c>
          <w:tcPr>
            <w:tcW w:w="3760" w:type="dxa"/>
            <w:tcBorders>
              <w:top w:val="nil"/>
              <w:left w:val="nil"/>
              <w:bottom w:val="single" w:sz="4" w:space="0" w:color="auto"/>
              <w:right w:val="single" w:sz="4" w:space="0" w:color="auto"/>
            </w:tcBorders>
            <w:shd w:val="clear" w:color="auto" w:fill="auto"/>
            <w:vAlign w:val="center"/>
            <w:hideMark/>
          </w:tcPr>
          <w:p w14:paraId="33DF60D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centrali e i Comuni, in linea con i target sopra descritti e secondo la roadmap di attuazione prevista dal Piano Nazionale di Ripresa e Resilienza (PNRR), dovranno integrarsi alla Piattaforma Notifiche Digitali</w:t>
            </w:r>
          </w:p>
        </w:tc>
        <w:tc>
          <w:tcPr>
            <w:tcW w:w="940" w:type="dxa"/>
            <w:tcBorders>
              <w:top w:val="nil"/>
              <w:left w:val="nil"/>
              <w:bottom w:val="single" w:sz="4" w:space="0" w:color="auto"/>
              <w:right w:val="single" w:sz="8" w:space="0" w:color="auto"/>
            </w:tcBorders>
            <w:shd w:val="clear" w:color="auto" w:fill="auto"/>
            <w:vAlign w:val="center"/>
            <w:hideMark/>
          </w:tcPr>
          <w:p w14:paraId="1B92C3A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r>
    </w:tbl>
    <w:p w14:paraId="3ED9FA24" w14:textId="77777777" w:rsidR="00A51B5D" w:rsidRDefault="00A51B5D">
      <w:r>
        <w:br w:type="page"/>
      </w:r>
    </w:p>
    <w:tbl>
      <w:tblPr>
        <w:tblW w:w="15461" w:type="dxa"/>
        <w:tblCellMar>
          <w:left w:w="70" w:type="dxa"/>
          <w:right w:w="70" w:type="dxa"/>
        </w:tblCellMar>
        <w:tblLook w:val="04A0" w:firstRow="1" w:lastRow="0" w:firstColumn="1" w:lastColumn="0" w:noHBand="0" w:noVBand="1"/>
      </w:tblPr>
      <w:tblGrid>
        <w:gridCol w:w="1080"/>
        <w:gridCol w:w="3760"/>
        <w:gridCol w:w="1038"/>
        <w:gridCol w:w="3760"/>
        <w:gridCol w:w="1120"/>
        <w:gridCol w:w="3760"/>
        <w:gridCol w:w="943"/>
      </w:tblGrid>
      <w:tr w:rsidR="00A51B5D" w:rsidRPr="00390427" w14:paraId="48ABAD5A" w14:textId="77777777" w:rsidTr="00A51B5D">
        <w:trPr>
          <w:trHeight w:val="315"/>
        </w:trPr>
        <w:tc>
          <w:tcPr>
            <w:tcW w:w="15461"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3EA9039" w14:textId="1949CA13"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lang w:eastAsia="it-IT"/>
              </w:rPr>
            </w:pPr>
            <w:r w:rsidRPr="00390427">
              <w:rPr>
                <w:rFonts w:ascii="Calibri" w:eastAsia="Times New Roman" w:hAnsi="Calibri" w:cs="Calibri"/>
                <w:b/>
                <w:bCs/>
                <w:color w:val="000000"/>
                <w:lang w:eastAsia="it-IT"/>
              </w:rPr>
              <w:lastRenderedPageBreak/>
              <w:t>Linea d'Azione</w:t>
            </w:r>
          </w:p>
        </w:tc>
      </w:tr>
      <w:tr w:rsidR="00A51B5D" w:rsidRPr="00390427" w14:paraId="47FE3D7C" w14:textId="77777777" w:rsidTr="00A51B5D">
        <w:trPr>
          <w:trHeight w:val="315"/>
        </w:trPr>
        <w:tc>
          <w:tcPr>
            <w:tcW w:w="1080" w:type="dxa"/>
            <w:vMerge w:val="restart"/>
            <w:tcBorders>
              <w:top w:val="nil"/>
              <w:left w:val="single" w:sz="8" w:space="0" w:color="auto"/>
              <w:bottom w:val="single" w:sz="8" w:space="0" w:color="000000"/>
              <w:right w:val="single" w:sz="4" w:space="0" w:color="auto"/>
            </w:tcBorders>
            <w:shd w:val="clear" w:color="auto" w:fill="auto"/>
            <w:vAlign w:val="center"/>
            <w:hideMark/>
          </w:tcPr>
          <w:p w14:paraId="7D263CF1"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Obiettivo </w:t>
            </w:r>
            <w:r w:rsidRPr="00390427">
              <w:rPr>
                <w:rFonts w:ascii="Calibri" w:eastAsia="Times New Roman" w:hAnsi="Calibri" w:cs="Calibri"/>
                <w:b/>
                <w:bCs/>
                <w:color w:val="000000"/>
                <w:sz w:val="18"/>
                <w:szCs w:val="18"/>
                <w:lang w:eastAsia="it-IT"/>
              </w:rPr>
              <w:br/>
              <w:t>L.A.</w:t>
            </w:r>
          </w:p>
        </w:tc>
        <w:tc>
          <w:tcPr>
            <w:tcW w:w="4798" w:type="dxa"/>
            <w:gridSpan w:val="2"/>
            <w:tcBorders>
              <w:top w:val="single" w:sz="4" w:space="0" w:color="auto"/>
              <w:left w:val="nil"/>
              <w:bottom w:val="single" w:sz="4" w:space="0" w:color="auto"/>
              <w:right w:val="nil"/>
            </w:tcBorders>
            <w:shd w:val="clear" w:color="auto" w:fill="auto"/>
            <w:vAlign w:val="center"/>
            <w:hideMark/>
          </w:tcPr>
          <w:p w14:paraId="3EFCF54B"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1° Piano 2020-2022</w:t>
            </w:r>
          </w:p>
        </w:tc>
        <w:tc>
          <w:tcPr>
            <w:tcW w:w="4880" w:type="dxa"/>
            <w:gridSpan w:val="2"/>
            <w:tcBorders>
              <w:top w:val="single" w:sz="4" w:space="0" w:color="auto"/>
              <w:left w:val="single" w:sz="4" w:space="0" w:color="auto"/>
              <w:bottom w:val="single" w:sz="4" w:space="0" w:color="auto"/>
              <w:right w:val="nil"/>
            </w:tcBorders>
            <w:shd w:val="clear" w:color="auto" w:fill="auto"/>
            <w:vAlign w:val="center"/>
            <w:hideMark/>
          </w:tcPr>
          <w:p w14:paraId="095B0EF3"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2° Piano 2021-2023</w:t>
            </w:r>
          </w:p>
        </w:tc>
        <w:tc>
          <w:tcPr>
            <w:tcW w:w="4700"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14:paraId="05592572"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3° Piano 2020-2024</w:t>
            </w:r>
          </w:p>
        </w:tc>
      </w:tr>
      <w:tr w:rsidR="00A51B5D" w:rsidRPr="00390427" w14:paraId="3A242FC7" w14:textId="77777777" w:rsidTr="00A51B5D">
        <w:trPr>
          <w:trHeight w:val="495"/>
        </w:trPr>
        <w:tc>
          <w:tcPr>
            <w:tcW w:w="1080" w:type="dxa"/>
            <w:vMerge/>
            <w:tcBorders>
              <w:top w:val="nil"/>
              <w:left w:val="single" w:sz="8" w:space="0" w:color="auto"/>
              <w:bottom w:val="single" w:sz="8" w:space="0" w:color="000000"/>
              <w:right w:val="single" w:sz="4" w:space="0" w:color="auto"/>
            </w:tcBorders>
            <w:vAlign w:val="center"/>
            <w:hideMark/>
          </w:tcPr>
          <w:p w14:paraId="7F89AB4A" w14:textId="77777777" w:rsidR="00A51B5D" w:rsidRPr="00390427" w:rsidRDefault="00A51B5D"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p>
        </w:tc>
        <w:tc>
          <w:tcPr>
            <w:tcW w:w="3760" w:type="dxa"/>
            <w:tcBorders>
              <w:top w:val="nil"/>
              <w:left w:val="nil"/>
              <w:bottom w:val="single" w:sz="8" w:space="0" w:color="auto"/>
              <w:right w:val="single" w:sz="4" w:space="0" w:color="auto"/>
            </w:tcBorders>
            <w:shd w:val="clear" w:color="auto" w:fill="auto"/>
            <w:vAlign w:val="center"/>
            <w:hideMark/>
          </w:tcPr>
          <w:p w14:paraId="5F7D2FA4"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038" w:type="dxa"/>
            <w:tcBorders>
              <w:top w:val="nil"/>
              <w:left w:val="nil"/>
              <w:bottom w:val="single" w:sz="8" w:space="0" w:color="auto"/>
              <w:right w:val="single" w:sz="4" w:space="0" w:color="auto"/>
            </w:tcBorders>
            <w:shd w:val="clear" w:color="auto" w:fill="auto"/>
            <w:vAlign w:val="center"/>
            <w:hideMark/>
          </w:tcPr>
          <w:p w14:paraId="609986DC"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7CD78F6B"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20" w:type="dxa"/>
            <w:tcBorders>
              <w:top w:val="nil"/>
              <w:left w:val="nil"/>
              <w:bottom w:val="single" w:sz="8" w:space="0" w:color="auto"/>
              <w:right w:val="single" w:sz="4" w:space="0" w:color="auto"/>
            </w:tcBorders>
            <w:shd w:val="clear" w:color="auto" w:fill="auto"/>
            <w:vAlign w:val="center"/>
            <w:hideMark/>
          </w:tcPr>
          <w:p w14:paraId="74A5F27B"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1D544735"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940" w:type="dxa"/>
            <w:tcBorders>
              <w:top w:val="nil"/>
              <w:left w:val="nil"/>
              <w:bottom w:val="single" w:sz="8" w:space="0" w:color="auto"/>
              <w:right w:val="single" w:sz="8" w:space="0" w:color="auto"/>
            </w:tcBorders>
            <w:shd w:val="clear" w:color="auto" w:fill="auto"/>
            <w:vAlign w:val="center"/>
            <w:hideMark/>
          </w:tcPr>
          <w:p w14:paraId="453C6CBC"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r>
      <w:tr w:rsidR="00390427" w:rsidRPr="00390427" w14:paraId="1012E841"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0668D7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CAP1.PA.LA81</w:t>
            </w:r>
          </w:p>
        </w:tc>
        <w:tc>
          <w:tcPr>
            <w:tcW w:w="3760" w:type="dxa"/>
            <w:tcBorders>
              <w:top w:val="nil"/>
              <w:left w:val="nil"/>
              <w:bottom w:val="single" w:sz="4" w:space="0" w:color="auto"/>
              <w:right w:val="single" w:sz="4" w:space="0" w:color="auto"/>
            </w:tcBorders>
            <w:shd w:val="clear" w:color="auto" w:fill="auto"/>
            <w:vAlign w:val="center"/>
            <w:hideMark/>
          </w:tcPr>
          <w:p w14:paraId="794D680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299C493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6BB23452"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2E8E307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1FE616A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centrali e i Comuni, in linea con i target sopra descritti e secondo la roadmap di attuazione prevista dal Piano Nazionale di Ripresa e Resilienza (PNRR), dovranno integrarsi alla Piattaforma Notifiche Digitali</w:t>
            </w:r>
          </w:p>
        </w:tc>
        <w:tc>
          <w:tcPr>
            <w:tcW w:w="940" w:type="dxa"/>
            <w:tcBorders>
              <w:top w:val="nil"/>
              <w:left w:val="nil"/>
              <w:bottom w:val="single" w:sz="4" w:space="0" w:color="auto"/>
              <w:right w:val="single" w:sz="8" w:space="0" w:color="auto"/>
            </w:tcBorders>
            <w:shd w:val="clear" w:color="auto" w:fill="auto"/>
            <w:vAlign w:val="center"/>
            <w:hideMark/>
          </w:tcPr>
          <w:p w14:paraId="5900D5B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2024 </w:t>
            </w:r>
          </w:p>
        </w:tc>
      </w:tr>
      <w:tr w:rsidR="00390427" w:rsidRPr="00390427" w14:paraId="18FEDD46"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4064D03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CAP1.PA.LA86</w:t>
            </w:r>
          </w:p>
        </w:tc>
        <w:tc>
          <w:tcPr>
            <w:tcW w:w="3760" w:type="dxa"/>
            <w:tcBorders>
              <w:top w:val="nil"/>
              <w:left w:val="nil"/>
              <w:bottom w:val="single" w:sz="4" w:space="0" w:color="auto"/>
              <w:right w:val="single" w:sz="4" w:space="0" w:color="auto"/>
            </w:tcBorders>
            <w:shd w:val="clear" w:color="auto" w:fill="auto"/>
            <w:vAlign w:val="center"/>
            <w:hideMark/>
          </w:tcPr>
          <w:p w14:paraId="7695B11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proprietarie di data center di gruppo A avviano piani di adeguamento sulla base del regolamento AGID per i livelli minimi di sicurezza e affidabilità dei data center A</w:t>
            </w:r>
          </w:p>
        </w:tc>
        <w:tc>
          <w:tcPr>
            <w:tcW w:w="1038" w:type="dxa"/>
            <w:tcBorders>
              <w:top w:val="nil"/>
              <w:left w:val="nil"/>
              <w:bottom w:val="single" w:sz="4" w:space="0" w:color="auto"/>
              <w:right w:val="single" w:sz="4" w:space="0" w:color="auto"/>
            </w:tcBorders>
            <w:shd w:val="clear" w:color="auto" w:fill="auto"/>
            <w:vAlign w:val="center"/>
            <w:hideMark/>
          </w:tcPr>
          <w:p w14:paraId="67B6AB2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c>
          <w:tcPr>
            <w:tcW w:w="3760" w:type="dxa"/>
            <w:tcBorders>
              <w:top w:val="nil"/>
              <w:left w:val="nil"/>
              <w:bottom w:val="single" w:sz="4" w:space="0" w:color="auto"/>
              <w:right w:val="single" w:sz="4" w:space="0" w:color="auto"/>
            </w:tcBorders>
            <w:shd w:val="clear" w:color="auto" w:fill="auto"/>
            <w:vAlign w:val="center"/>
            <w:hideMark/>
          </w:tcPr>
          <w:p w14:paraId="65D09FD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proprietarie di data center di gruppo A avviano piani di adeguamento sulla base del regolamento AGID per i livelli minimi di sicurezza e affidabilità dei data center A</w:t>
            </w:r>
          </w:p>
        </w:tc>
        <w:tc>
          <w:tcPr>
            <w:tcW w:w="1120" w:type="dxa"/>
            <w:tcBorders>
              <w:top w:val="nil"/>
              <w:left w:val="nil"/>
              <w:bottom w:val="single" w:sz="4" w:space="0" w:color="auto"/>
              <w:right w:val="single" w:sz="4" w:space="0" w:color="auto"/>
            </w:tcBorders>
            <w:shd w:val="clear" w:color="auto" w:fill="auto"/>
            <w:vAlign w:val="center"/>
            <w:hideMark/>
          </w:tcPr>
          <w:p w14:paraId="0F91603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c>
          <w:tcPr>
            <w:tcW w:w="3760" w:type="dxa"/>
            <w:tcBorders>
              <w:top w:val="nil"/>
              <w:left w:val="nil"/>
              <w:bottom w:val="single" w:sz="4" w:space="0" w:color="auto"/>
              <w:right w:val="single" w:sz="4" w:space="0" w:color="auto"/>
            </w:tcBorders>
            <w:shd w:val="clear" w:color="auto" w:fill="auto"/>
            <w:vAlign w:val="center"/>
            <w:hideMark/>
          </w:tcPr>
          <w:p w14:paraId="5725C92B"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proprietarie di data center di gruppo A avviano piani di adeguamento sulla base del regolamento AGID per i livelli minimi di sicurezza e affidabilità dei data center A</w:t>
            </w:r>
          </w:p>
        </w:tc>
        <w:tc>
          <w:tcPr>
            <w:tcW w:w="940" w:type="dxa"/>
            <w:tcBorders>
              <w:top w:val="nil"/>
              <w:left w:val="nil"/>
              <w:bottom w:val="single" w:sz="4" w:space="0" w:color="auto"/>
              <w:right w:val="single" w:sz="4" w:space="0" w:color="auto"/>
            </w:tcBorders>
            <w:shd w:val="clear" w:color="auto" w:fill="auto"/>
            <w:vAlign w:val="center"/>
            <w:hideMark/>
          </w:tcPr>
          <w:p w14:paraId="5FA35B9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r>
      <w:tr w:rsidR="00390427" w:rsidRPr="00390427" w14:paraId="4B22B121"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47B793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CAP1.PA.LA101</w:t>
            </w:r>
          </w:p>
        </w:tc>
        <w:tc>
          <w:tcPr>
            <w:tcW w:w="3760" w:type="dxa"/>
            <w:tcBorders>
              <w:top w:val="nil"/>
              <w:left w:val="nil"/>
              <w:bottom w:val="single" w:sz="4" w:space="0" w:color="auto"/>
              <w:right w:val="single" w:sz="4" w:space="0" w:color="auto"/>
            </w:tcBorders>
            <w:shd w:val="clear" w:color="auto" w:fill="auto"/>
            <w:vAlign w:val="center"/>
            <w:hideMark/>
          </w:tcPr>
          <w:p w14:paraId="0FE6AC1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1F65D30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205D0B4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PAC con obbligo di migrazione verso il cloud trasmettono al DTD e all’AGID i relativi piani di migrazione mediante una piattaforma dedicata messa a disposizione dal DTD come indicato nel Regolamento</w:t>
            </w:r>
          </w:p>
        </w:tc>
        <w:tc>
          <w:tcPr>
            <w:tcW w:w="1120" w:type="dxa"/>
            <w:tcBorders>
              <w:top w:val="nil"/>
              <w:left w:val="nil"/>
              <w:bottom w:val="single" w:sz="4" w:space="0" w:color="auto"/>
              <w:right w:val="single" w:sz="4" w:space="0" w:color="auto"/>
            </w:tcBorders>
            <w:shd w:val="clear" w:color="auto" w:fill="auto"/>
            <w:vAlign w:val="center"/>
            <w:hideMark/>
          </w:tcPr>
          <w:p w14:paraId="2C879AC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febbraio 2023 (o altro termine indicato nel Regolamento) </w:t>
            </w:r>
          </w:p>
        </w:tc>
        <w:tc>
          <w:tcPr>
            <w:tcW w:w="3760" w:type="dxa"/>
            <w:tcBorders>
              <w:top w:val="nil"/>
              <w:left w:val="nil"/>
              <w:bottom w:val="single" w:sz="4" w:space="0" w:color="auto"/>
              <w:right w:val="single" w:sz="4" w:space="0" w:color="auto"/>
            </w:tcBorders>
            <w:shd w:val="clear" w:color="auto" w:fill="auto"/>
            <w:vAlign w:val="center"/>
            <w:hideMark/>
          </w:tcPr>
          <w:p w14:paraId="6949D6A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PAC con obbligo di migrazione verso il cloud trasmettono al DTD e all’AGID i relativi piani di migrazione mediante una piattaforma dedicata messa a disposizione dal DTD come indicato nel Regolamento</w:t>
            </w:r>
          </w:p>
        </w:tc>
        <w:tc>
          <w:tcPr>
            <w:tcW w:w="940" w:type="dxa"/>
            <w:tcBorders>
              <w:top w:val="nil"/>
              <w:left w:val="nil"/>
              <w:bottom w:val="single" w:sz="4" w:space="0" w:color="auto"/>
              <w:right w:val="single" w:sz="4" w:space="0" w:color="auto"/>
            </w:tcBorders>
            <w:shd w:val="clear" w:color="auto" w:fill="auto"/>
            <w:vAlign w:val="center"/>
            <w:hideMark/>
          </w:tcPr>
          <w:p w14:paraId="50BBAE8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febbraio 2023 (o altro termine indicato nel Regolamento) </w:t>
            </w:r>
          </w:p>
        </w:tc>
      </w:tr>
      <w:tr w:rsidR="00390427" w:rsidRPr="00390427" w14:paraId="145B936A"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CF21B2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CAP1.PA.LA102</w:t>
            </w:r>
          </w:p>
        </w:tc>
        <w:tc>
          <w:tcPr>
            <w:tcW w:w="3760" w:type="dxa"/>
            <w:tcBorders>
              <w:top w:val="nil"/>
              <w:left w:val="nil"/>
              <w:bottom w:val="single" w:sz="4" w:space="0" w:color="auto"/>
              <w:right w:val="single" w:sz="4" w:space="0" w:color="auto"/>
            </w:tcBorders>
            <w:shd w:val="clear" w:color="auto" w:fill="auto"/>
            <w:vAlign w:val="center"/>
            <w:hideMark/>
          </w:tcPr>
          <w:p w14:paraId="3F086AA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40F161F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7470E0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4BF1F43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1C32BB5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ove richiesto dal Dipartimento per la Trasformazione Digitale o da AGID, trasmettono le informazioni relative allo stato di avanzamento dell’implementazione dei piani di migrazione</w:t>
            </w:r>
          </w:p>
        </w:tc>
        <w:tc>
          <w:tcPr>
            <w:tcW w:w="940" w:type="dxa"/>
            <w:tcBorders>
              <w:top w:val="nil"/>
              <w:left w:val="nil"/>
              <w:bottom w:val="single" w:sz="4" w:space="0" w:color="auto"/>
              <w:right w:val="single" w:sz="8" w:space="0" w:color="auto"/>
            </w:tcBorders>
            <w:shd w:val="clear" w:color="auto" w:fill="auto"/>
            <w:vAlign w:val="center"/>
            <w:hideMark/>
          </w:tcPr>
          <w:p w14:paraId="614AF9B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ottobre 2022  </w:t>
            </w:r>
          </w:p>
        </w:tc>
      </w:tr>
      <w:tr w:rsidR="00390427" w:rsidRPr="00390427" w14:paraId="0BA7905F"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1833157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CAP1.PA.LA104</w:t>
            </w:r>
          </w:p>
        </w:tc>
        <w:tc>
          <w:tcPr>
            <w:tcW w:w="3760" w:type="dxa"/>
            <w:tcBorders>
              <w:top w:val="nil"/>
              <w:left w:val="nil"/>
              <w:bottom w:val="single" w:sz="4" w:space="0" w:color="auto"/>
              <w:right w:val="single" w:sz="4" w:space="0" w:color="auto"/>
            </w:tcBorders>
            <w:shd w:val="clear" w:color="auto" w:fill="auto"/>
            <w:vAlign w:val="center"/>
            <w:hideMark/>
          </w:tcPr>
          <w:p w14:paraId="7ACC16E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si approvvigionano sul nuovo catalogo MEPA per le necessità di connettività non riscontrabili nei contratti SPC</w:t>
            </w:r>
          </w:p>
        </w:tc>
        <w:tc>
          <w:tcPr>
            <w:tcW w:w="1038" w:type="dxa"/>
            <w:tcBorders>
              <w:top w:val="nil"/>
              <w:left w:val="nil"/>
              <w:bottom w:val="single" w:sz="4" w:space="0" w:color="auto"/>
              <w:right w:val="single" w:sz="4" w:space="0" w:color="auto"/>
            </w:tcBorders>
            <w:shd w:val="clear" w:color="auto" w:fill="auto"/>
            <w:vAlign w:val="center"/>
            <w:hideMark/>
          </w:tcPr>
          <w:p w14:paraId="02987CF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ottobre 2020  </w:t>
            </w:r>
          </w:p>
        </w:tc>
        <w:tc>
          <w:tcPr>
            <w:tcW w:w="3760" w:type="dxa"/>
            <w:tcBorders>
              <w:top w:val="nil"/>
              <w:left w:val="nil"/>
              <w:bottom w:val="single" w:sz="4" w:space="0" w:color="auto"/>
              <w:right w:val="single" w:sz="4" w:space="0" w:color="auto"/>
            </w:tcBorders>
            <w:shd w:val="clear" w:color="auto" w:fill="auto"/>
            <w:vAlign w:val="center"/>
            <w:hideMark/>
          </w:tcPr>
          <w:p w14:paraId="2EFF7ED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si approvvigionano sul nuovo catalogo MEPA per le necessità di connettività non riscontrabili nei contratti SPC</w:t>
            </w:r>
          </w:p>
        </w:tc>
        <w:tc>
          <w:tcPr>
            <w:tcW w:w="1120" w:type="dxa"/>
            <w:tcBorders>
              <w:top w:val="nil"/>
              <w:left w:val="nil"/>
              <w:bottom w:val="single" w:sz="4" w:space="0" w:color="auto"/>
              <w:right w:val="single" w:sz="4" w:space="0" w:color="auto"/>
            </w:tcBorders>
            <w:shd w:val="clear" w:color="auto" w:fill="auto"/>
            <w:vAlign w:val="center"/>
            <w:hideMark/>
          </w:tcPr>
          <w:p w14:paraId="1AB1561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ottobre 2020 (in corso)  </w:t>
            </w:r>
          </w:p>
        </w:tc>
        <w:tc>
          <w:tcPr>
            <w:tcW w:w="3760" w:type="dxa"/>
            <w:tcBorders>
              <w:top w:val="nil"/>
              <w:left w:val="nil"/>
              <w:bottom w:val="single" w:sz="4" w:space="0" w:color="auto"/>
              <w:right w:val="single" w:sz="4" w:space="0" w:color="auto"/>
            </w:tcBorders>
            <w:shd w:val="clear" w:color="auto" w:fill="auto"/>
            <w:vAlign w:val="center"/>
            <w:hideMark/>
          </w:tcPr>
          <w:p w14:paraId="2040C7B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si approvvigionano sul catalogo MEPA per le necessità di connettività non riscontrabili nei contratti SPC</w:t>
            </w:r>
          </w:p>
        </w:tc>
        <w:tc>
          <w:tcPr>
            <w:tcW w:w="940" w:type="dxa"/>
            <w:tcBorders>
              <w:top w:val="nil"/>
              <w:left w:val="nil"/>
              <w:bottom w:val="single" w:sz="4" w:space="0" w:color="auto"/>
              <w:right w:val="single" w:sz="8" w:space="0" w:color="auto"/>
            </w:tcBorders>
            <w:shd w:val="clear" w:color="auto" w:fill="auto"/>
            <w:vAlign w:val="center"/>
            <w:hideMark/>
          </w:tcPr>
          <w:p w14:paraId="703A67A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73C53B4E"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65A353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CAP1.PA.LA105</w:t>
            </w:r>
          </w:p>
        </w:tc>
        <w:tc>
          <w:tcPr>
            <w:tcW w:w="3760" w:type="dxa"/>
            <w:tcBorders>
              <w:top w:val="nil"/>
              <w:left w:val="nil"/>
              <w:bottom w:val="single" w:sz="4" w:space="0" w:color="auto"/>
              <w:right w:val="single" w:sz="4" w:space="0" w:color="auto"/>
            </w:tcBorders>
            <w:shd w:val="clear" w:color="auto" w:fill="auto"/>
            <w:vAlign w:val="center"/>
            <w:hideMark/>
          </w:tcPr>
          <w:p w14:paraId="3DB7B13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possono acquistare i nuovi servizi disponibili nel listino SPC</w:t>
            </w:r>
          </w:p>
        </w:tc>
        <w:tc>
          <w:tcPr>
            <w:tcW w:w="1038" w:type="dxa"/>
            <w:tcBorders>
              <w:top w:val="nil"/>
              <w:left w:val="nil"/>
              <w:bottom w:val="single" w:sz="4" w:space="0" w:color="auto"/>
              <w:right w:val="single" w:sz="4" w:space="0" w:color="auto"/>
            </w:tcBorders>
            <w:shd w:val="clear" w:color="auto" w:fill="auto"/>
            <w:vAlign w:val="center"/>
            <w:hideMark/>
          </w:tcPr>
          <w:p w14:paraId="4B16034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giugno 2021  </w:t>
            </w:r>
          </w:p>
        </w:tc>
        <w:tc>
          <w:tcPr>
            <w:tcW w:w="3760" w:type="dxa"/>
            <w:tcBorders>
              <w:top w:val="nil"/>
              <w:left w:val="nil"/>
              <w:bottom w:val="single" w:sz="4" w:space="0" w:color="auto"/>
              <w:right w:val="single" w:sz="4" w:space="0" w:color="auto"/>
            </w:tcBorders>
            <w:shd w:val="clear" w:color="auto" w:fill="auto"/>
            <w:vAlign w:val="center"/>
            <w:hideMark/>
          </w:tcPr>
          <w:p w14:paraId="2688065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possono acquistare i nuovi servizi disponibili nel listino SPC</w:t>
            </w:r>
          </w:p>
        </w:tc>
        <w:tc>
          <w:tcPr>
            <w:tcW w:w="1120" w:type="dxa"/>
            <w:tcBorders>
              <w:top w:val="nil"/>
              <w:left w:val="nil"/>
              <w:bottom w:val="single" w:sz="4" w:space="0" w:color="auto"/>
              <w:right w:val="single" w:sz="4" w:space="0" w:color="auto"/>
            </w:tcBorders>
            <w:shd w:val="clear" w:color="auto" w:fill="auto"/>
            <w:vAlign w:val="center"/>
            <w:hideMark/>
          </w:tcPr>
          <w:p w14:paraId="4B68321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giugno 2021  </w:t>
            </w:r>
          </w:p>
        </w:tc>
        <w:tc>
          <w:tcPr>
            <w:tcW w:w="3760" w:type="dxa"/>
            <w:tcBorders>
              <w:top w:val="nil"/>
              <w:left w:val="nil"/>
              <w:bottom w:val="single" w:sz="4" w:space="0" w:color="auto"/>
              <w:right w:val="single" w:sz="4" w:space="0" w:color="auto"/>
            </w:tcBorders>
            <w:shd w:val="clear" w:color="auto" w:fill="auto"/>
            <w:vAlign w:val="center"/>
            <w:hideMark/>
          </w:tcPr>
          <w:p w14:paraId="77575BB2"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possono acquistare i nuovi servizi disponibili nel listino SPC</w:t>
            </w:r>
          </w:p>
        </w:tc>
        <w:tc>
          <w:tcPr>
            <w:tcW w:w="940" w:type="dxa"/>
            <w:tcBorders>
              <w:top w:val="nil"/>
              <w:left w:val="nil"/>
              <w:bottom w:val="single" w:sz="4" w:space="0" w:color="auto"/>
              <w:right w:val="single" w:sz="4" w:space="0" w:color="auto"/>
            </w:tcBorders>
            <w:shd w:val="clear" w:color="auto" w:fill="auto"/>
            <w:vAlign w:val="center"/>
            <w:hideMark/>
          </w:tcPr>
          <w:p w14:paraId="6D65C1B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giugno 2021  </w:t>
            </w:r>
          </w:p>
        </w:tc>
      </w:tr>
      <w:tr w:rsidR="00390427" w:rsidRPr="00390427" w14:paraId="69872CD4"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081179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CAP1.PA.LA106</w:t>
            </w:r>
          </w:p>
        </w:tc>
        <w:tc>
          <w:tcPr>
            <w:tcW w:w="3760" w:type="dxa"/>
            <w:tcBorders>
              <w:top w:val="nil"/>
              <w:left w:val="nil"/>
              <w:bottom w:val="single" w:sz="4" w:space="0" w:color="auto"/>
              <w:right w:val="single" w:sz="4" w:space="0" w:color="auto"/>
            </w:tcBorders>
            <w:shd w:val="clear" w:color="auto" w:fill="auto"/>
            <w:vAlign w:val="center"/>
            <w:hideMark/>
          </w:tcPr>
          <w:p w14:paraId="2373109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105039C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70C4BD9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possono acquistare i servizi della nuova gara di connettività SPC</w:t>
            </w:r>
          </w:p>
        </w:tc>
        <w:tc>
          <w:tcPr>
            <w:tcW w:w="1120" w:type="dxa"/>
            <w:tcBorders>
              <w:top w:val="nil"/>
              <w:left w:val="nil"/>
              <w:bottom w:val="single" w:sz="4" w:space="0" w:color="auto"/>
              <w:right w:val="single" w:sz="4" w:space="0" w:color="auto"/>
            </w:tcBorders>
            <w:shd w:val="clear" w:color="auto" w:fill="auto"/>
            <w:vAlign w:val="center"/>
            <w:hideMark/>
          </w:tcPr>
          <w:p w14:paraId="46A9215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maggio 2023  </w:t>
            </w:r>
          </w:p>
        </w:tc>
        <w:tc>
          <w:tcPr>
            <w:tcW w:w="3760" w:type="dxa"/>
            <w:tcBorders>
              <w:top w:val="nil"/>
              <w:left w:val="nil"/>
              <w:bottom w:val="single" w:sz="4" w:space="0" w:color="auto"/>
              <w:right w:val="single" w:sz="4" w:space="0" w:color="auto"/>
            </w:tcBorders>
            <w:shd w:val="clear" w:color="auto" w:fill="auto"/>
            <w:vAlign w:val="center"/>
            <w:hideMark/>
          </w:tcPr>
          <w:p w14:paraId="6170F35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possono acquistare i servizi della nuova gara di connettività SPC</w:t>
            </w:r>
          </w:p>
        </w:tc>
        <w:tc>
          <w:tcPr>
            <w:tcW w:w="940" w:type="dxa"/>
            <w:tcBorders>
              <w:top w:val="nil"/>
              <w:left w:val="nil"/>
              <w:bottom w:val="single" w:sz="4" w:space="0" w:color="auto"/>
              <w:right w:val="single" w:sz="8" w:space="0" w:color="auto"/>
            </w:tcBorders>
            <w:shd w:val="clear" w:color="auto" w:fill="auto"/>
            <w:vAlign w:val="center"/>
            <w:hideMark/>
          </w:tcPr>
          <w:p w14:paraId="4533A67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2024  </w:t>
            </w:r>
          </w:p>
        </w:tc>
      </w:tr>
      <w:tr w:rsidR="00390427" w:rsidRPr="00390427" w14:paraId="478BEBB9"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1CFA0E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CAP1.PA.LA107</w:t>
            </w:r>
          </w:p>
        </w:tc>
        <w:tc>
          <w:tcPr>
            <w:tcW w:w="3760" w:type="dxa"/>
            <w:tcBorders>
              <w:top w:val="nil"/>
              <w:left w:val="nil"/>
              <w:bottom w:val="single" w:sz="4" w:space="0" w:color="auto"/>
              <w:right w:val="single" w:sz="4" w:space="0" w:color="auto"/>
            </w:tcBorders>
            <w:shd w:val="clear" w:color="auto" w:fill="auto"/>
            <w:vAlign w:val="center"/>
            <w:hideMark/>
          </w:tcPr>
          <w:p w14:paraId="155D6AC2"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038" w:type="dxa"/>
            <w:tcBorders>
              <w:top w:val="nil"/>
              <w:left w:val="nil"/>
              <w:bottom w:val="single" w:sz="4" w:space="0" w:color="auto"/>
              <w:right w:val="single" w:sz="4" w:space="0" w:color="auto"/>
            </w:tcBorders>
            <w:shd w:val="clear" w:color="auto" w:fill="auto"/>
            <w:vAlign w:val="center"/>
            <w:hideMark/>
          </w:tcPr>
          <w:p w14:paraId="3BD552F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1DCD14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0F5675A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2ED4D9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hanno acquistato i servizi della nuova gara di connettività SPC terminano la migrazione</w:t>
            </w:r>
          </w:p>
        </w:tc>
        <w:tc>
          <w:tcPr>
            <w:tcW w:w="940" w:type="dxa"/>
            <w:tcBorders>
              <w:top w:val="nil"/>
              <w:left w:val="nil"/>
              <w:bottom w:val="single" w:sz="4" w:space="0" w:color="auto"/>
              <w:right w:val="single" w:sz="8" w:space="0" w:color="auto"/>
            </w:tcBorders>
            <w:shd w:val="clear" w:color="auto" w:fill="auto"/>
            <w:vAlign w:val="center"/>
            <w:hideMark/>
          </w:tcPr>
          <w:p w14:paraId="64C7296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2024 </w:t>
            </w:r>
          </w:p>
        </w:tc>
      </w:tr>
    </w:tbl>
    <w:p w14:paraId="6A14F108" w14:textId="77777777" w:rsidR="00A51B5D" w:rsidRDefault="00A51B5D">
      <w:r>
        <w:br w:type="page"/>
      </w:r>
    </w:p>
    <w:tbl>
      <w:tblPr>
        <w:tblW w:w="15527" w:type="dxa"/>
        <w:tblCellMar>
          <w:left w:w="70" w:type="dxa"/>
          <w:right w:w="70" w:type="dxa"/>
        </w:tblCellMar>
        <w:tblLook w:val="04A0" w:firstRow="1" w:lastRow="0" w:firstColumn="1" w:lastColumn="0" w:noHBand="0" w:noVBand="1"/>
      </w:tblPr>
      <w:tblGrid>
        <w:gridCol w:w="1080"/>
        <w:gridCol w:w="3760"/>
        <w:gridCol w:w="1104"/>
        <w:gridCol w:w="3760"/>
        <w:gridCol w:w="1120"/>
        <w:gridCol w:w="3760"/>
        <w:gridCol w:w="943"/>
      </w:tblGrid>
      <w:tr w:rsidR="00A51B5D" w:rsidRPr="00390427" w14:paraId="06B0AB19" w14:textId="77777777" w:rsidTr="00A51B5D">
        <w:trPr>
          <w:trHeight w:val="315"/>
        </w:trPr>
        <w:tc>
          <w:tcPr>
            <w:tcW w:w="15527"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4C723AF" w14:textId="099D1400"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lang w:eastAsia="it-IT"/>
              </w:rPr>
            </w:pPr>
            <w:r w:rsidRPr="00390427">
              <w:rPr>
                <w:rFonts w:ascii="Calibri" w:eastAsia="Times New Roman" w:hAnsi="Calibri" w:cs="Calibri"/>
                <w:b/>
                <w:bCs/>
                <w:color w:val="000000"/>
                <w:lang w:eastAsia="it-IT"/>
              </w:rPr>
              <w:lastRenderedPageBreak/>
              <w:t>Linea d'Azione</w:t>
            </w:r>
          </w:p>
        </w:tc>
      </w:tr>
      <w:tr w:rsidR="00A51B5D" w:rsidRPr="00390427" w14:paraId="2ABFF23F" w14:textId="77777777" w:rsidTr="00A51B5D">
        <w:trPr>
          <w:trHeight w:val="315"/>
        </w:trPr>
        <w:tc>
          <w:tcPr>
            <w:tcW w:w="1080" w:type="dxa"/>
            <w:vMerge w:val="restart"/>
            <w:tcBorders>
              <w:top w:val="nil"/>
              <w:left w:val="single" w:sz="8" w:space="0" w:color="auto"/>
              <w:bottom w:val="single" w:sz="8" w:space="0" w:color="000000"/>
              <w:right w:val="single" w:sz="4" w:space="0" w:color="auto"/>
            </w:tcBorders>
            <w:shd w:val="clear" w:color="auto" w:fill="auto"/>
            <w:vAlign w:val="center"/>
            <w:hideMark/>
          </w:tcPr>
          <w:p w14:paraId="42A08C3D"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Obiettivo </w:t>
            </w:r>
            <w:r w:rsidRPr="00390427">
              <w:rPr>
                <w:rFonts w:ascii="Calibri" w:eastAsia="Times New Roman" w:hAnsi="Calibri" w:cs="Calibri"/>
                <w:b/>
                <w:bCs/>
                <w:color w:val="000000"/>
                <w:sz w:val="18"/>
                <w:szCs w:val="18"/>
                <w:lang w:eastAsia="it-IT"/>
              </w:rPr>
              <w:br/>
              <w:t>L.A.</w:t>
            </w:r>
          </w:p>
        </w:tc>
        <w:tc>
          <w:tcPr>
            <w:tcW w:w="4864" w:type="dxa"/>
            <w:gridSpan w:val="2"/>
            <w:tcBorders>
              <w:top w:val="single" w:sz="4" w:space="0" w:color="auto"/>
              <w:left w:val="nil"/>
              <w:bottom w:val="single" w:sz="4" w:space="0" w:color="auto"/>
              <w:right w:val="nil"/>
            </w:tcBorders>
            <w:shd w:val="clear" w:color="auto" w:fill="auto"/>
            <w:vAlign w:val="center"/>
            <w:hideMark/>
          </w:tcPr>
          <w:p w14:paraId="2430D5CE"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1° Piano 2020-2022</w:t>
            </w:r>
          </w:p>
        </w:tc>
        <w:tc>
          <w:tcPr>
            <w:tcW w:w="4880" w:type="dxa"/>
            <w:gridSpan w:val="2"/>
            <w:tcBorders>
              <w:top w:val="single" w:sz="4" w:space="0" w:color="auto"/>
              <w:left w:val="single" w:sz="4" w:space="0" w:color="auto"/>
              <w:bottom w:val="single" w:sz="4" w:space="0" w:color="auto"/>
              <w:right w:val="nil"/>
            </w:tcBorders>
            <w:shd w:val="clear" w:color="auto" w:fill="auto"/>
            <w:vAlign w:val="center"/>
            <w:hideMark/>
          </w:tcPr>
          <w:p w14:paraId="00870AEB"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2° Piano 2021-2023</w:t>
            </w:r>
          </w:p>
        </w:tc>
        <w:tc>
          <w:tcPr>
            <w:tcW w:w="4700"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14:paraId="57BA8CFF"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3° Piano 2020-2024</w:t>
            </w:r>
          </w:p>
        </w:tc>
      </w:tr>
      <w:tr w:rsidR="00A51B5D" w:rsidRPr="00390427" w14:paraId="6CFEE4D1" w14:textId="77777777" w:rsidTr="00A51B5D">
        <w:trPr>
          <w:trHeight w:val="495"/>
        </w:trPr>
        <w:tc>
          <w:tcPr>
            <w:tcW w:w="1080" w:type="dxa"/>
            <w:vMerge/>
            <w:tcBorders>
              <w:top w:val="nil"/>
              <w:left w:val="single" w:sz="8" w:space="0" w:color="auto"/>
              <w:bottom w:val="single" w:sz="8" w:space="0" w:color="000000"/>
              <w:right w:val="single" w:sz="4" w:space="0" w:color="auto"/>
            </w:tcBorders>
            <w:vAlign w:val="center"/>
            <w:hideMark/>
          </w:tcPr>
          <w:p w14:paraId="20BD3780" w14:textId="77777777" w:rsidR="00A51B5D" w:rsidRPr="00390427" w:rsidRDefault="00A51B5D"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p>
        </w:tc>
        <w:tc>
          <w:tcPr>
            <w:tcW w:w="3760" w:type="dxa"/>
            <w:tcBorders>
              <w:top w:val="nil"/>
              <w:left w:val="nil"/>
              <w:bottom w:val="single" w:sz="8" w:space="0" w:color="auto"/>
              <w:right w:val="single" w:sz="4" w:space="0" w:color="auto"/>
            </w:tcBorders>
            <w:shd w:val="clear" w:color="auto" w:fill="auto"/>
            <w:vAlign w:val="center"/>
            <w:hideMark/>
          </w:tcPr>
          <w:p w14:paraId="1606F076"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04" w:type="dxa"/>
            <w:tcBorders>
              <w:top w:val="nil"/>
              <w:left w:val="nil"/>
              <w:bottom w:val="single" w:sz="8" w:space="0" w:color="auto"/>
              <w:right w:val="single" w:sz="4" w:space="0" w:color="auto"/>
            </w:tcBorders>
            <w:shd w:val="clear" w:color="auto" w:fill="auto"/>
            <w:vAlign w:val="center"/>
            <w:hideMark/>
          </w:tcPr>
          <w:p w14:paraId="234392DF"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72662ABC"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20" w:type="dxa"/>
            <w:tcBorders>
              <w:top w:val="nil"/>
              <w:left w:val="nil"/>
              <w:bottom w:val="single" w:sz="8" w:space="0" w:color="auto"/>
              <w:right w:val="single" w:sz="4" w:space="0" w:color="auto"/>
            </w:tcBorders>
            <w:shd w:val="clear" w:color="auto" w:fill="auto"/>
            <w:vAlign w:val="center"/>
            <w:hideMark/>
          </w:tcPr>
          <w:p w14:paraId="54825134"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267208BD"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940" w:type="dxa"/>
            <w:tcBorders>
              <w:top w:val="nil"/>
              <w:left w:val="nil"/>
              <w:bottom w:val="single" w:sz="8" w:space="0" w:color="auto"/>
              <w:right w:val="single" w:sz="8" w:space="0" w:color="auto"/>
            </w:tcBorders>
            <w:shd w:val="clear" w:color="auto" w:fill="auto"/>
            <w:vAlign w:val="center"/>
            <w:hideMark/>
          </w:tcPr>
          <w:p w14:paraId="7FC6141F"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r>
      <w:tr w:rsidR="00390427" w:rsidRPr="00390427" w14:paraId="4AE3FE0E"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DDEF57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CAP1.PA.LA120</w:t>
            </w:r>
          </w:p>
        </w:tc>
        <w:tc>
          <w:tcPr>
            <w:tcW w:w="3760" w:type="dxa"/>
            <w:tcBorders>
              <w:top w:val="nil"/>
              <w:left w:val="nil"/>
              <w:bottom w:val="single" w:sz="4" w:space="0" w:color="auto"/>
              <w:right w:val="single" w:sz="4" w:space="0" w:color="auto"/>
            </w:tcBorders>
            <w:shd w:val="clear" w:color="auto" w:fill="auto"/>
            <w:vAlign w:val="center"/>
            <w:hideMark/>
          </w:tcPr>
          <w:p w14:paraId="4D7CC21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04" w:type="dxa"/>
            <w:tcBorders>
              <w:top w:val="nil"/>
              <w:left w:val="nil"/>
              <w:bottom w:val="single" w:sz="4" w:space="0" w:color="auto"/>
              <w:right w:val="single" w:sz="4" w:space="0" w:color="auto"/>
            </w:tcBorders>
            <w:shd w:val="clear" w:color="auto" w:fill="auto"/>
            <w:vAlign w:val="center"/>
            <w:hideMark/>
          </w:tcPr>
          <w:p w14:paraId="462E7B4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03BBF2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20" w:type="dxa"/>
            <w:tcBorders>
              <w:top w:val="nil"/>
              <w:left w:val="nil"/>
              <w:bottom w:val="single" w:sz="4" w:space="0" w:color="auto"/>
              <w:right w:val="single" w:sz="4" w:space="0" w:color="auto"/>
            </w:tcBorders>
            <w:shd w:val="clear" w:color="auto" w:fill="auto"/>
            <w:vAlign w:val="center"/>
            <w:hideMark/>
          </w:tcPr>
          <w:p w14:paraId="0F21717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110ADFD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I Comuni e le altre amministrazioni coinvolte nei procedimenti SUAP si dotano di piattaforme digitali conformi alle “specifiche tecniche SUAP”</w:t>
            </w:r>
          </w:p>
        </w:tc>
        <w:tc>
          <w:tcPr>
            <w:tcW w:w="940" w:type="dxa"/>
            <w:tcBorders>
              <w:top w:val="nil"/>
              <w:left w:val="nil"/>
              <w:bottom w:val="single" w:sz="4" w:space="0" w:color="auto"/>
              <w:right w:val="single" w:sz="8" w:space="0" w:color="auto"/>
            </w:tcBorders>
            <w:shd w:val="clear" w:color="auto" w:fill="auto"/>
            <w:vAlign w:val="center"/>
            <w:hideMark/>
          </w:tcPr>
          <w:p w14:paraId="693900E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giugno 2023  </w:t>
            </w:r>
          </w:p>
        </w:tc>
      </w:tr>
      <w:tr w:rsidR="00390427" w:rsidRPr="00390427" w14:paraId="0C92AF8B"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2796393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CAP1.PA.LA121</w:t>
            </w:r>
          </w:p>
        </w:tc>
        <w:tc>
          <w:tcPr>
            <w:tcW w:w="3760" w:type="dxa"/>
            <w:tcBorders>
              <w:top w:val="nil"/>
              <w:left w:val="nil"/>
              <w:bottom w:val="single" w:sz="4" w:space="0" w:color="auto"/>
              <w:right w:val="single" w:sz="4" w:space="0" w:color="auto"/>
            </w:tcBorders>
            <w:shd w:val="clear" w:color="auto" w:fill="auto"/>
            <w:vAlign w:val="center"/>
            <w:hideMark/>
          </w:tcPr>
          <w:p w14:paraId="491E2D4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nei procedimenti di acquisizione di beni e servizi ICT devono far riferimento alle Linee guida sulla sicurezza nel procurement ICT</w:t>
            </w:r>
          </w:p>
        </w:tc>
        <w:tc>
          <w:tcPr>
            <w:tcW w:w="1104" w:type="dxa"/>
            <w:tcBorders>
              <w:top w:val="nil"/>
              <w:left w:val="nil"/>
              <w:bottom w:val="single" w:sz="4" w:space="0" w:color="auto"/>
              <w:right w:val="single" w:sz="4" w:space="0" w:color="auto"/>
            </w:tcBorders>
            <w:shd w:val="clear" w:color="auto" w:fill="auto"/>
            <w:vAlign w:val="center"/>
            <w:hideMark/>
          </w:tcPr>
          <w:p w14:paraId="25BADF8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w:t>
            </w:r>
          </w:p>
        </w:tc>
        <w:tc>
          <w:tcPr>
            <w:tcW w:w="3760" w:type="dxa"/>
            <w:tcBorders>
              <w:top w:val="nil"/>
              <w:left w:val="nil"/>
              <w:bottom w:val="single" w:sz="4" w:space="0" w:color="auto"/>
              <w:right w:val="single" w:sz="4" w:space="0" w:color="auto"/>
            </w:tcBorders>
            <w:shd w:val="clear" w:color="auto" w:fill="auto"/>
            <w:vAlign w:val="center"/>
            <w:hideMark/>
          </w:tcPr>
          <w:p w14:paraId="0D1DC10B"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nei procedimenti di acquisizione di beni e servizi ICT devono far riferimento alle Linee guida sulla sicurezza nel procurement ICT</w:t>
            </w:r>
          </w:p>
        </w:tc>
        <w:tc>
          <w:tcPr>
            <w:tcW w:w="1120" w:type="dxa"/>
            <w:tcBorders>
              <w:top w:val="nil"/>
              <w:left w:val="nil"/>
              <w:bottom w:val="single" w:sz="4" w:space="0" w:color="auto"/>
              <w:right w:val="single" w:sz="4" w:space="0" w:color="auto"/>
            </w:tcBorders>
            <w:shd w:val="clear" w:color="auto" w:fill="auto"/>
            <w:vAlign w:val="center"/>
            <w:hideMark/>
          </w:tcPr>
          <w:p w14:paraId="498380A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settembre 2020 (in corso)  </w:t>
            </w:r>
          </w:p>
        </w:tc>
        <w:tc>
          <w:tcPr>
            <w:tcW w:w="3760" w:type="dxa"/>
            <w:tcBorders>
              <w:top w:val="nil"/>
              <w:left w:val="nil"/>
              <w:bottom w:val="single" w:sz="4" w:space="0" w:color="auto"/>
              <w:right w:val="single" w:sz="4" w:space="0" w:color="auto"/>
            </w:tcBorders>
            <w:shd w:val="clear" w:color="auto" w:fill="auto"/>
            <w:vAlign w:val="center"/>
            <w:hideMark/>
          </w:tcPr>
          <w:p w14:paraId="54EBC00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nei procedimenti di acquisizione di beni e servizi ICT devono far riferimento alle Linee guida sulla sicurezza nel procurement ICT</w:t>
            </w:r>
          </w:p>
        </w:tc>
        <w:tc>
          <w:tcPr>
            <w:tcW w:w="940" w:type="dxa"/>
            <w:tcBorders>
              <w:top w:val="nil"/>
              <w:left w:val="nil"/>
              <w:bottom w:val="single" w:sz="4" w:space="0" w:color="auto"/>
              <w:right w:val="single" w:sz="8" w:space="0" w:color="auto"/>
            </w:tcBorders>
            <w:shd w:val="clear" w:color="auto" w:fill="auto"/>
            <w:vAlign w:val="center"/>
            <w:hideMark/>
          </w:tcPr>
          <w:p w14:paraId="7333280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14C880B2"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26520A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CAP1.PA.LA126</w:t>
            </w:r>
          </w:p>
        </w:tc>
        <w:tc>
          <w:tcPr>
            <w:tcW w:w="3760" w:type="dxa"/>
            <w:tcBorders>
              <w:top w:val="nil"/>
              <w:left w:val="nil"/>
              <w:bottom w:val="single" w:sz="4" w:space="0" w:color="auto"/>
              <w:right w:val="single" w:sz="4" w:space="0" w:color="auto"/>
            </w:tcBorders>
            <w:shd w:val="clear" w:color="auto" w:fill="auto"/>
            <w:vAlign w:val="center"/>
            <w:hideMark/>
          </w:tcPr>
          <w:p w14:paraId="2CA30A4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si adeguano alle Misure minime di sicurezza ICT per le pubbliche amministrazioni aggiornate</w:t>
            </w:r>
          </w:p>
        </w:tc>
        <w:tc>
          <w:tcPr>
            <w:tcW w:w="1104" w:type="dxa"/>
            <w:tcBorders>
              <w:top w:val="nil"/>
              <w:left w:val="nil"/>
              <w:bottom w:val="single" w:sz="4" w:space="0" w:color="auto"/>
              <w:right w:val="single" w:sz="4" w:space="0" w:color="auto"/>
            </w:tcBorders>
            <w:shd w:val="clear" w:color="auto" w:fill="auto"/>
            <w:vAlign w:val="center"/>
            <w:hideMark/>
          </w:tcPr>
          <w:p w14:paraId="05CEFF3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giugno 2022 </w:t>
            </w:r>
          </w:p>
        </w:tc>
        <w:tc>
          <w:tcPr>
            <w:tcW w:w="3760" w:type="dxa"/>
            <w:tcBorders>
              <w:top w:val="nil"/>
              <w:left w:val="nil"/>
              <w:bottom w:val="single" w:sz="4" w:space="0" w:color="auto"/>
              <w:right w:val="single" w:sz="4" w:space="0" w:color="auto"/>
            </w:tcBorders>
            <w:shd w:val="clear" w:color="auto" w:fill="auto"/>
            <w:vAlign w:val="center"/>
            <w:hideMark/>
          </w:tcPr>
          <w:p w14:paraId="7121D99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si adeguano alle Misure minime di sicurezza ICT per le pubbliche amministrazioni aggiornate</w:t>
            </w:r>
          </w:p>
        </w:tc>
        <w:tc>
          <w:tcPr>
            <w:tcW w:w="1120" w:type="dxa"/>
            <w:tcBorders>
              <w:top w:val="nil"/>
              <w:left w:val="nil"/>
              <w:bottom w:val="single" w:sz="4" w:space="0" w:color="auto"/>
              <w:right w:val="single" w:sz="4" w:space="0" w:color="auto"/>
            </w:tcBorders>
            <w:shd w:val="clear" w:color="auto" w:fill="auto"/>
            <w:vAlign w:val="center"/>
            <w:hideMark/>
          </w:tcPr>
          <w:p w14:paraId="3AA646C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2023 </w:t>
            </w:r>
          </w:p>
        </w:tc>
        <w:tc>
          <w:tcPr>
            <w:tcW w:w="3760" w:type="dxa"/>
            <w:tcBorders>
              <w:top w:val="nil"/>
              <w:left w:val="nil"/>
              <w:bottom w:val="single" w:sz="4" w:space="0" w:color="auto"/>
              <w:right w:val="single" w:sz="4" w:space="0" w:color="auto"/>
            </w:tcBorders>
            <w:shd w:val="clear" w:color="auto" w:fill="auto"/>
            <w:vAlign w:val="center"/>
            <w:hideMark/>
          </w:tcPr>
          <w:p w14:paraId="17F746E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continuano a seguire le Misure minime di sicurezza ICT per le pubbliche amministrazioni</w:t>
            </w:r>
          </w:p>
        </w:tc>
        <w:tc>
          <w:tcPr>
            <w:tcW w:w="940" w:type="dxa"/>
            <w:tcBorders>
              <w:top w:val="nil"/>
              <w:left w:val="nil"/>
              <w:bottom w:val="single" w:sz="4" w:space="0" w:color="auto"/>
              <w:right w:val="single" w:sz="8" w:space="0" w:color="auto"/>
            </w:tcBorders>
            <w:shd w:val="clear" w:color="auto" w:fill="auto"/>
            <w:vAlign w:val="center"/>
            <w:hideMark/>
          </w:tcPr>
          <w:p w14:paraId="046794E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10889AA4"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AFDDC2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CAP1.PA.LA129</w:t>
            </w:r>
          </w:p>
        </w:tc>
        <w:tc>
          <w:tcPr>
            <w:tcW w:w="3760" w:type="dxa"/>
            <w:tcBorders>
              <w:top w:val="nil"/>
              <w:left w:val="nil"/>
              <w:bottom w:val="single" w:sz="4" w:space="0" w:color="auto"/>
              <w:right w:val="single" w:sz="4" w:space="0" w:color="auto"/>
            </w:tcBorders>
            <w:shd w:val="clear" w:color="auto" w:fill="auto"/>
            <w:vAlign w:val="center"/>
            <w:hideMark/>
          </w:tcPr>
          <w:p w14:paraId="27F43D9B"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consultare la piattaforma Infosec aggiornata per rilevare le vulnerabilità (CVE) dei propri asset</w:t>
            </w:r>
          </w:p>
        </w:tc>
        <w:tc>
          <w:tcPr>
            <w:tcW w:w="1104" w:type="dxa"/>
            <w:tcBorders>
              <w:top w:val="nil"/>
              <w:left w:val="nil"/>
              <w:bottom w:val="single" w:sz="4" w:space="0" w:color="auto"/>
              <w:right w:val="single" w:sz="4" w:space="0" w:color="auto"/>
            </w:tcBorders>
            <w:shd w:val="clear" w:color="auto" w:fill="auto"/>
            <w:vAlign w:val="center"/>
            <w:hideMark/>
          </w:tcPr>
          <w:p w14:paraId="5FEC310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2021  </w:t>
            </w:r>
          </w:p>
        </w:tc>
        <w:tc>
          <w:tcPr>
            <w:tcW w:w="3760" w:type="dxa"/>
            <w:tcBorders>
              <w:top w:val="nil"/>
              <w:left w:val="nil"/>
              <w:bottom w:val="single" w:sz="4" w:space="0" w:color="auto"/>
              <w:right w:val="single" w:sz="4" w:space="0" w:color="auto"/>
            </w:tcBorders>
            <w:shd w:val="clear" w:color="auto" w:fill="auto"/>
            <w:vAlign w:val="center"/>
            <w:hideMark/>
          </w:tcPr>
          <w:p w14:paraId="0321016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consultare la piattaforma Infosec aggiornata per rilevare le vulnerabilità (CVE) dei propri asset</w:t>
            </w:r>
          </w:p>
        </w:tc>
        <w:tc>
          <w:tcPr>
            <w:tcW w:w="1120" w:type="dxa"/>
            <w:tcBorders>
              <w:top w:val="nil"/>
              <w:left w:val="nil"/>
              <w:bottom w:val="single" w:sz="4" w:space="0" w:color="auto"/>
              <w:right w:val="single" w:sz="4" w:space="0" w:color="auto"/>
            </w:tcBorders>
            <w:shd w:val="clear" w:color="auto" w:fill="auto"/>
            <w:vAlign w:val="center"/>
            <w:hideMark/>
          </w:tcPr>
          <w:p w14:paraId="24409B6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2021  </w:t>
            </w:r>
          </w:p>
        </w:tc>
        <w:tc>
          <w:tcPr>
            <w:tcW w:w="3760" w:type="dxa"/>
            <w:tcBorders>
              <w:top w:val="nil"/>
              <w:left w:val="nil"/>
              <w:bottom w:val="single" w:sz="4" w:space="0" w:color="auto"/>
              <w:right w:val="single" w:sz="4" w:space="0" w:color="auto"/>
            </w:tcBorders>
            <w:shd w:val="clear" w:color="auto" w:fill="auto"/>
            <w:vAlign w:val="center"/>
            <w:hideMark/>
          </w:tcPr>
          <w:p w14:paraId="5D975C7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consultare la piattaforma Infosec aggiornata per rilevare le vulnerabilità (CVE) dei propri asset</w:t>
            </w:r>
          </w:p>
        </w:tc>
        <w:tc>
          <w:tcPr>
            <w:tcW w:w="940" w:type="dxa"/>
            <w:tcBorders>
              <w:top w:val="nil"/>
              <w:left w:val="nil"/>
              <w:bottom w:val="single" w:sz="4" w:space="0" w:color="auto"/>
              <w:right w:val="single" w:sz="4" w:space="0" w:color="auto"/>
            </w:tcBorders>
            <w:shd w:val="clear" w:color="auto" w:fill="auto"/>
            <w:vAlign w:val="center"/>
            <w:hideMark/>
          </w:tcPr>
          <w:p w14:paraId="12C451F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2021  </w:t>
            </w:r>
          </w:p>
        </w:tc>
      </w:tr>
      <w:tr w:rsidR="00390427" w:rsidRPr="00390427" w14:paraId="55507D25"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3A1445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CAP1.PA.LA130</w:t>
            </w:r>
          </w:p>
        </w:tc>
        <w:tc>
          <w:tcPr>
            <w:tcW w:w="3760" w:type="dxa"/>
            <w:tcBorders>
              <w:top w:val="nil"/>
              <w:left w:val="nil"/>
              <w:bottom w:val="single" w:sz="4" w:space="0" w:color="auto"/>
              <w:right w:val="single" w:sz="4" w:space="0" w:color="auto"/>
            </w:tcBorders>
            <w:shd w:val="clear" w:color="auto" w:fill="auto"/>
            <w:vAlign w:val="center"/>
            <w:hideMark/>
          </w:tcPr>
          <w:p w14:paraId="3CC8AC3B"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mantenere costantemente aggiornati i propri portali istituzionali e applicare le correzioni alle vulnerabilità</w:t>
            </w:r>
          </w:p>
        </w:tc>
        <w:tc>
          <w:tcPr>
            <w:tcW w:w="1104" w:type="dxa"/>
            <w:tcBorders>
              <w:top w:val="nil"/>
              <w:left w:val="nil"/>
              <w:bottom w:val="single" w:sz="4" w:space="0" w:color="auto"/>
              <w:right w:val="single" w:sz="4" w:space="0" w:color="auto"/>
            </w:tcBorders>
            <w:shd w:val="clear" w:color="auto" w:fill="auto"/>
            <w:vAlign w:val="center"/>
            <w:hideMark/>
          </w:tcPr>
          <w:p w14:paraId="7984245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maggio 2021  </w:t>
            </w:r>
          </w:p>
        </w:tc>
        <w:tc>
          <w:tcPr>
            <w:tcW w:w="3760" w:type="dxa"/>
            <w:tcBorders>
              <w:top w:val="nil"/>
              <w:left w:val="nil"/>
              <w:bottom w:val="single" w:sz="4" w:space="0" w:color="auto"/>
              <w:right w:val="single" w:sz="4" w:space="0" w:color="auto"/>
            </w:tcBorders>
            <w:shd w:val="clear" w:color="auto" w:fill="auto"/>
            <w:vAlign w:val="center"/>
            <w:hideMark/>
          </w:tcPr>
          <w:p w14:paraId="5D73977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mantenere costantemente aggiornati i propri portali istituzionali e applicare le correzioni alle vulnerabilità</w:t>
            </w:r>
          </w:p>
        </w:tc>
        <w:tc>
          <w:tcPr>
            <w:tcW w:w="1120" w:type="dxa"/>
            <w:tcBorders>
              <w:top w:val="nil"/>
              <w:left w:val="nil"/>
              <w:bottom w:val="single" w:sz="4" w:space="0" w:color="auto"/>
              <w:right w:val="single" w:sz="4" w:space="0" w:color="auto"/>
            </w:tcBorders>
            <w:shd w:val="clear" w:color="auto" w:fill="auto"/>
            <w:vAlign w:val="center"/>
            <w:hideMark/>
          </w:tcPr>
          <w:p w14:paraId="36878DE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2021  </w:t>
            </w:r>
          </w:p>
        </w:tc>
        <w:tc>
          <w:tcPr>
            <w:tcW w:w="3760" w:type="dxa"/>
            <w:tcBorders>
              <w:top w:val="nil"/>
              <w:left w:val="nil"/>
              <w:bottom w:val="single" w:sz="4" w:space="0" w:color="auto"/>
              <w:right w:val="single" w:sz="4" w:space="0" w:color="auto"/>
            </w:tcBorders>
            <w:shd w:val="clear" w:color="auto" w:fill="auto"/>
            <w:vAlign w:val="center"/>
            <w:hideMark/>
          </w:tcPr>
          <w:p w14:paraId="095C65B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devono mantenere costantemente aggiornati i propri portali istituzionali e applicare le correzioni alle vulnerabilità</w:t>
            </w:r>
          </w:p>
        </w:tc>
        <w:tc>
          <w:tcPr>
            <w:tcW w:w="940" w:type="dxa"/>
            <w:tcBorders>
              <w:top w:val="nil"/>
              <w:left w:val="nil"/>
              <w:bottom w:val="single" w:sz="4" w:space="0" w:color="auto"/>
              <w:right w:val="single" w:sz="8" w:space="0" w:color="auto"/>
            </w:tcBorders>
            <w:shd w:val="clear" w:color="auto" w:fill="auto"/>
            <w:vAlign w:val="center"/>
            <w:hideMark/>
          </w:tcPr>
          <w:p w14:paraId="38B6BBD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Linee di azione ancora vigenti   </w:t>
            </w:r>
          </w:p>
        </w:tc>
      </w:tr>
      <w:tr w:rsidR="00390427" w:rsidRPr="00390427" w14:paraId="2AA1560F"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BDDD91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CAP1.PA.LA131</w:t>
            </w:r>
          </w:p>
        </w:tc>
        <w:tc>
          <w:tcPr>
            <w:tcW w:w="3760" w:type="dxa"/>
            <w:tcBorders>
              <w:top w:val="nil"/>
              <w:left w:val="nil"/>
              <w:bottom w:val="single" w:sz="4" w:space="0" w:color="auto"/>
              <w:right w:val="single" w:sz="4" w:space="0" w:color="auto"/>
            </w:tcBorders>
            <w:shd w:val="clear" w:color="auto" w:fill="auto"/>
            <w:vAlign w:val="center"/>
            <w:hideMark/>
          </w:tcPr>
          <w:p w14:paraId="58DD5F3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04" w:type="dxa"/>
            <w:tcBorders>
              <w:top w:val="nil"/>
              <w:left w:val="nil"/>
              <w:bottom w:val="single" w:sz="4" w:space="0" w:color="auto"/>
              <w:right w:val="single" w:sz="4" w:space="0" w:color="auto"/>
            </w:tcBorders>
            <w:shd w:val="clear" w:color="auto" w:fill="auto"/>
            <w:vAlign w:val="center"/>
            <w:hideMark/>
          </w:tcPr>
          <w:p w14:paraId="3F9A3BA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1AEFA03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in funzione delle proprie necessità, possono utilizzare il tool di self assessment per il controllo del protocollo HTTPS e la versione del CMS messo a disposizione da AGID</w:t>
            </w:r>
          </w:p>
        </w:tc>
        <w:tc>
          <w:tcPr>
            <w:tcW w:w="1120" w:type="dxa"/>
            <w:tcBorders>
              <w:top w:val="nil"/>
              <w:left w:val="nil"/>
              <w:bottom w:val="single" w:sz="4" w:space="0" w:color="auto"/>
              <w:right w:val="single" w:sz="4" w:space="0" w:color="auto"/>
            </w:tcBorders>
            <w:shd w:val="clear" w:color="auto" w:fill="auto"/>
            <w:vAlign w:val="center"/>
            <w:hideMark/>
          </w:tcPr>
          <w:p w14:paraId="75E1D49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2021  </w:t>
            </w:r>
          </w:p>
        </w:tc>
        <w:tc>
          <w:tcPr>
            <w:tcW w:w="3760" w:type="dxa"/>
            <w:tcBorders>
              <w:top w:val="nil"/>
              <w:left w:val="nil"/>
              <w:bottom w:val="single" w:sz="4" w:space="0" w:color="auto"/>
              <w:right w:val="single" w:sz="4" w:space="0" w:color="auto"/>
            </w:tcBorders>
            <w:shd w:val="clear" w:color="auto" w:fill="auto"/>
            <w:vAlign w:val="center"/>
            <w:hideMark/>
          </w:tcPr>
          <w:p w14:paraId="73A6702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in funzione delle proprie necessità, possono utilizzare il tool di self assessment per il controllo del protocollo HTTPS e la versione del CMS messo a disposizione da AGID</w:t>
            </w:r>
          </w:p>
        </w:tc>
        <w:tc>
          <w:tcPr>
            <w:tcW w:w="940" w:type="dxa"/>
            <w:tcBorders>
              <w:top w:val="nil"/>
              <w:left w:val="nil"/>
              <w:bottom w:val="single" w:sz="4" w:space="0" w:color="auto"/>
              <w:right w:val="single" w:sz="8" w:space="0" w:color="auto"/>
            </w:tcBorders>
            <w:shd w:val="clear" w:color="auto" w:fill="auto"/>
            <w:vAlign w:val="center"/>
            <w:hideMark/>
          </w:tcPr>
          <w:p w14:paraId="532AC3A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Linee di azione ancora vigenti   </w:t>
            </w:r>
          </w:p>
        </w:tc>
      </w:tr>
      <w:tr w:rsidR="00390427" w:rsidRPr="00390427" w14:paraId="42014963"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A6F364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CAP1.PA.LA132</w:t>
            </w:r>
          </w:p>
        </w:tc>
        <w:tc>
          <w:tcPr>
            <w:tcW w:w="3760" w:type="dxa"/>
            <w:tcBorders>
              <w:top w:val="nil"/>
              <w:left w:val="nil"/>
              <w:bottom w:val="single" w:sz="4" w:space="0" w:color="auto"/>
              <w:right w:val="single" w:sz="4" w:space="0" w:color="auto"/>
            </w:tcBorders>
            <w:shd w:val="clear" w:color="auto" w:fill="auto"/>
            <w:vAlign w:val="center"/>
            <w:hideMark/>
          </w:tcPr>
          <w:p w14:paraId="6780DC9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04" w:type="dxa"/>
            <w:tcBorders>
              <w:top w:val="nil"/>
              <w:left w:val="nil"/>
              <w:bottom w:val="single" w:sz="4" w:space="0" w:color="auto"/>
              <w:right w:val="single" w:sz="4" w:space="0" w:color="auto"/>
            </w:tcBorders>
            <w:shd w:val="clear" w:color="auto" w:fill="auto"/>
            <w:vAlign w:val="center"/>
            <w:hideMark/>
          </w:tcPr>
          <w:p w14:paraId="559B4E3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421396A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ASL e le restanti Pubbliche Amministrazioni, relativamente ai propri portali istituzionali, devono fare riferimento per la configurazione del protocollo HTTPS all’OWASP Transport Layer Protection Cheat Sheet e alle Raccomandazioni AGID TLS e Cipher Suite e mantenere aggiornate le versioni dei CMS</w:t>
            </w:r>
          </w:p>
        </w:tc>
        <w:tc>
          <w:tcPr>
            <w:tcW w:w="1120" w:type="dxa"/>
            <w:tcBorders>
              <w:top w:val="nil"/>
              <w:left w:val="nil"/>
              <w:bottom w:val="single" w:sz="4" w:space="0" w:color="auto"/>
              <w:right w:val="single" w:sz="4" w:space="0" w:color="auto"/>
            </w:tcBorders>
            <w:shd w:val="clear" w:color="auto" w:fill="auto"/>
            <w:vAlign w:val="center"/>
            <w:hideMark/>
          </w:tcPr>
          <w:p w14:paraId="0486566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giugno 2022 </w:t>
            </w:r>
          </w:p>
        </w:tc>
        <w:tc>
          <w:tcPr>
            <w:tcW w:w="3760" w:type="dxa"/>
            <w:tcBorders>
              <w:top w:val="nil"/>
              <w:left w:val="nil"/>
              <w:bottom w:val="single" w:sz="4" w:space="0" w:color="auto"/>
              <w:right w:val="single" w:sz="4" w:space="0" w:color="auto"/>
            </w:tcBorders>
            <w:shd w:val="clear" w:color="auto" w:fill="auto"/>
            <w:vAlign w:val="center"/>
            <w:hideMark/>
          </w:tcPr>
          <w:p w14:paraId="30ACDAC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ASL e le restanti Pubbliche Amministrazioni, relativamente ai propri portali istituzionali, devono fare riferimento per la configurazione del protocollo HTTPS all’OWASP Transport Layer Protection Cheat Sheet e alle Raccomandazioni AGID TLS e Cipher Suite e mantenere aggiornate le versioni dei CMS</w:t>
            </w:r>
          </w:p>
        </w:tc>
        <w:tc>
          <w:tcPr>
            <w:tcW w:w="940" w:type="dxa"/>
            <w:tcBorders>
              <w:top w:val="nil"/>
              <w:left w:val="nil"/>
              <w:bottom w:val="single" w:sz="4" w:space="0" w:color="auto"/>
              <w:right w:val="single" w:sz="4" w:space="0" w:color="auto"/>
            </w:tcBorders>
            <w:shd w:val="clear" w:color="auto" w:fill="auto"/>
            <w:vAlign w:val="center"/>
            <w:hideMark/>
          </w:tcPr>
          <w:p w14:paraId="7251AA5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giugno 2022 </w:t>
            </w:r>
          </w:p>
        </w:tc>
      </w:tr>
      <w:tr w:rsidR="00390427" w:rsidRPr="00390427" w14:paraId="53B8BBB1"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46693D3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CAP1.PA.LA139</w:t>
            </w:r>
          </w:p>
        </w:tc>
        <w:tc>
          <w:tcPr>
            <w:tcW w:w="3760" w:type="dxa"/>
            <w:tcBorders>
              <w:top w:val="nil"/>
              <w:left w:val="nil"/>
              <w:bottom w:val="single" w:sz="4" w:space="0" w:color="auto"/>
              <w:right w:val="single" w:sz="4" w:space="0" w:color="auto"/>
            </w:tcBorders>
            <w:shd w:val="clear" w:color="auto" w:fill="auto"/>
            <w:vAlign w:val="center"/>
            <w:hideMark/>
          </w:tcPr>
          <w:p w14:paraId="4E5D860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04" w:type="dxa"/>
            <w:tcBorders>
              <w:top w:val="nil"/>
              <w:left w:val="nil"/>
              <w:bottom w:val="single" w:sz="4" w:space="0" w:color="auto"/>
              <w:right w:val="single" w:sz="4" w:space="0" w:color="auto"/>
            </w:tcBorders>
            <w:shd w:val="clear" w:color="auto" w:fill="auto"/>
            <w:vAlign w:val="center"/>
            <w:hideMark/>
          </w:tcPr>
          <w:p w14:paraId="74EB6C5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06A94A56"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nell’ambito della pianificazione per l’attuazione della propria strategia digitale, valutano gli strumenti di procurement disponibili</w:t>
            </w:r>
          </w:p>
        </w:tc>
        <w:tc>
          <w:tcPr>
            <w:tcW w:w="1120" w:type="dxa"/>
            <w:tcBorders>
              <w:top w:val="nil"/>
              <w:left w:val="nil"/>
              <w:bottom w:val="single" w:sz="4" w:space="0" w:color="auto"/>
              <w:right w:val="single" w:sz="4" w:space="0" w:color="auto"/>
            </w:tcBorders>
            <w:shd w:val="clear" w:color="auto" w:fill="auto"/>
            <w:vAlign w:val="center"/>
            <w:hideMark/>
          </w:tcPr>
          <w:p w14:paraId="2795863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2020 (in corso)  </w:t>
            </w:r>
          </w:p>
        </w:tc>
        <w:tc>
          <w:tcPr>
            <w:tcW w:w="3760" w:type="dxa"/>
            <w:tcBorders>
              <w:top w:val="nil"/>
              <w:left w:val="nil"/>
              <w:bottom w:val="single" w:sz="4" w:space="0" w:color="auto"/>
              <w:right w:val="single" w:sz="4" w:space="0" w:color="auto"/>
            </w:tcBorders>
            <w:shd w:val="clear" w:color="auto" w:fill="auto"/>
            <w:vAlign w:val="center"/>
            <w:hideMark/>
          </w:tcPr>
          <w:p w14:paraId="2E4A653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nell’ambito della pianificazione per l’attuazione della propria strategia digitale, valutano gli strumenti di procurement innovativo disponibili</w:t>
            </w:r>
          </w:p>
        </w:tc>
        <w:tc>
          <w:tcPr>
            <w:tcW w:w="940" w:type="dxa"/>
            <w:tcBorders>
              <w:top w:val="nil"/>
              <w:left w:val="nil"/>
              <w:bottom w:val="single" w:sz="4" w:space="0" w:color="auto"/>
              <w:right w:val="single" w:sz="8" w:space="0" w:color="auto"/>
            </w:tcBorders>
            <w:shd w:val="clear" w:color="auto" w:fill="auto"/>
            <w:vAlign w:val="center"/>
            <w:hideMark/>
          </w:tcPr>
          <w:p w14:paraId="771AA1A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Linee di azione ancora vigenti</w:t>
            </w:r>
          </w:p>
        </w:tc>
      </w:tr>
      <w:tr w:rsidR="00390427" w:rsidRPr="00390427" w14:paraId="1BA6F83D"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105535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CAP1.PA.LA140</w:t>
            </w:r>
          </w:p>
        </w:tc>
        <w:tc>
          <w:tcPr>
            <w:tcW w:w="3760" w:type="dxa"/>
            <w:tcBorders>
              <w:top w:val="nil"/>
              <w:left w:val="nil"/>
              <w:bottom w:val="single" w:sz="4" w:space="0" w:color="auto"/>
              <w:right w:val="single" w:sz="4" w:space="0" w:color="auto"/>
            </w:tcBorders>
            <w:shd w:val="clear" w:color="auto" w:fill="auto"/>
            <w:vAlign w:val="center"/>
            <w:hideMark/>
          </w:tcPr>
          <w:p w14:paraId="745AE28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04" w:type="dxa"/>
            <w:tcBorders>
              <w:top w:val="nil"/>
              <w:left w:val="nil"/>
              <w:bottom w:val="single" w:sz="4" w:space="0" w:color="auto"/>
              <w:right w:val="single" w:sz="4" w:space="0" w:color="auto"/>
            </w:tcBorders>
            <w:shd w:val="clear" w:color="auto" w:fill="auto"/>
            <w:vAlign w:val="center"/>
            <w:hideMark/>
          </w:tcPr>
          <w:p w14:paraId="5DB06E2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547F327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aderiscono alle Gare strategiche forniscono al Comitato strategico per la governance delle Gare strategiche le misure degli indicatori generali</w:t>
            </w:r>
          </w:p>
        </w:tc>
        <w:tc>
          <w:tcPr>
            <w:tcW w:w="1120" w:type="dxa"/>
            <w:tcBorders>
              <w:top w:val="nil"/>
              <w:left w:val="nil"/>
              <w:bottom w:val="single" w:sz="4" w:space="0" w:color="auto"/>
              <w:right w:val="single" w:sz="4" w:space="0" w:color="auto"/>
            </w:tcBorders>
            <w:shd w:val="clear" w:color="auto" w:fill="auto"/>
            <w:vAlign w:val="center"/>
            <w:hideMark/>
          </w:tcPr>
          <w:p w14:paraId="2EC0376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c>
          <w:tcPr>
            <w:tcW w:w="3760" w:type="dxa"/>
            <w:tcBorders>
              <w:top w:val="nil"/>
              <w:left w:val="nil"/>
              <w:bottom w:val="single" w:sz="4" w:space="0" w:color="auto"/>
              <w:right w:val="single" w:sz="4" w:space="0" w:color="auto"/>
            </w:tcBorders>
            <w:shd w:val="clear" w:color="auto" w:fill="auto"/>
            <w:vAlign w:val="center"/>
            <w:hideMark/>
          </w:tcPr>
          <w:p w14:paraId="1F1A566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aderiscono alle Gare strategiche forniscono al Comitato strategico per la governance delle Gare strategiche le misure degli indicatori generali</w:t>
            </w:r>
          </w:p>
        </w:tc>
        <w:tc>
          <w:tcPr>
            <w:tcW w:w="940" w:type="dxa"/>
            <w:tcBorders>
              <w:top w:val="nil"/>
              <w:left w:val="nil"/>
              <w:bottom w:val="single" w:sz="4" w:space="0" w:color="auto"/>
              <w:right w:val="single" w:sz="4" w:space="0" w:color="auto"/>
            </w:tcBorders>
            <w:shd w:val="clear" w:color="auto" w:fill="auto"/>
            <w:vAlign w:val="center"/>
            <w:hideMark/>
          </w:tcPr>
          <w:p w14:paraId="50710A5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r>
      <w:tr w:rsidR="00A51B5D" w:rsidRPr="00390427" w14:paraId="6E2E7B46" w14:textId="77777777" w:rsidTr="00A51B5D">
        <w:trPr>
          <w:trHeight w:val="315"/>
        </w:trPr>
        <w:tc>
          <w:tcPr>
            <w:tcW w:w="15527"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7BC4EF9"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lang w:eastAsia="it-IT"/>
              </w:rPr>
            </w:pPr>
            <w:r w:rsidRPr="00390427">
              <w:rPr>
                <w:rFonts w:ascii="Calibri" w:eastAsia="Times New Roman" w:hAnsi="Calibri" w:cs="Calibri"/>
                <w:b/>
                <w:bCs/>
                <w:color w:val="000000"/>
                <w:lang w:eastAsia="it-IT"/>
              </w:rPr>
              <w:lastRenderedPageBreak/>
              <w:t>Linea d'Azione</w:t>
            </w:r>
          </w:p>
        </w:tc>
      </w:tr>
      <w:tr w:rsidR="00A51B5D" w:rsidRPr="00390427" w14:paraId="14D158D7" w14:textId="77777777" w:rsidTr="00A51B5D">
        <w:trPr>
          <w:trHeight w:val="315"/>
        </w:trPr>
        <w:tc>
          <w:tcPr>
            <w:tcW w:w="1080" w:type="dxa"/>
            <w:vMerge w:val="restart"/>
            <w:tcBorders>
              <w:top w:val="nil"/>
              <w:left w:val="single" w:sz="8" w:space="0" w:color="auto"/>
              <w:bottom w:val="single" w:sz="8" w:space="0" w:color="000000"/>
              <w:right w:val="single" w:sz="4" w:space="0" w:color="auto"/>
            </w:tcBorders>
            <w:shd w:val="clear" w:color="auto" w:fill="auto"/>
            <w:vAlign w:val="center"/>
            <w:hideMark/>
          </w:tcPr>
          <w:p w14:paraId="083C1DF3"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Obiettivo </w:t>
            </w:r>
            <w:r w:rsidRPr="00390427">
              <w:rPr>
                <w:rFonts w:ascii="Calibri" w:eastAsia="Times New Roman" w:hAnsi="Calibri" w:cs="Calibri"/>
                <w:b/>
                <w:bCs/>
                <w:color w:val="000000"/>
                <w:sz w:val="18"/>
                <w:szCs w:val="18"/>
                <w:lang w:eastAsia="it-IT"/>
              </w:rPr>
              <w:br/>
              <w:t>L.A.</w:t>
            </w:r>
          </w:p>
        </w:tc>
        <w:tc>
          <w:tcPr>
            <w:tcW w:w="4864" w:type="dxa"/>
            <w:gridSpan w:val="2"/>
            <w:tcBorders>
              <w:top w:val="single" w:sz="4" w:space="0" w:color="auto"/>
              <w:left w:val="nil"/>
              <w:bottom w:val="single" w:sz="4" w:space="0" w:color="auto"/>
              <w:right w:val="nil"/>
            </w:tcBorders>
            <w:shd w:val="clear" w:color="auto" w:fill="auto"/>
            <w:vAlign w:val="center"/>
            <w:hideMark/>
          </w:tcPr>
          <w:p w14:paraId="0555ADF3"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1° Piano 2020-2022</w:t>
            </w:r>
          </w:p>
        </w:tc>
        <w:tc>
          <w:tcPr>
            <w:tcW w:w="4880" w:type="dxa"/>
            <w:gridSpan w:val="2"/>
            <w:tcBorders>
              <w:top w:val="single" w:sz="4" w:space="0" w:color="auto"/>
              <w:left w:val="single" w:sz="4" w:space="0" w:color="auto"/>
              <w:bottom w:val="single" w:sz="4" w:space="0" w:color="auto"/>
              <w:right w:val="nil"/>
            </w:tcBorders>
            <w:shd w:val="clear" w:color="auto" w:fill="auto"/>
            <w:vAlign w:val="center"/>
            <w:hideMark/>
          </w:tcPr>
          <w:p w14:paraId="42FEFF5F"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2° Piano 2021-2023</w:t>
            </w:r>
          </w:p>
        </w:tc>
        <w:tc>
          <w:tcPr>
            <w:tcW w:w="4700"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14:paraId="4B97ACEA" w14:textId="77777777" w:rsidR="00A51B5D" w:rsidRPr="00390427" w:rsidRDefault="00A51B5D"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3° Piano 2020-2024</w:t>
            </w:r>
          </w:p>
        </w:tc>
      </w:tr>
      <w:tr w:rsidR="00A51B5D" w:rsidRPr="00390427" w14:paraId="7118AEB3" w14:textId="77777777" w:rsidTr="00A51B5D">
        <w:trPr>
          <w:trHeight w:val="495"/>
        </w:trPr>
        <w:tc>
          <w:tcPr>
            <w:tcW w:w="1080" w:type="dxa"/>
            <w:vMerge/>
            <w:tcBorders>
              <w:top w:val="nil"/>
              <w:left w:val="single" w:sz="8" w:space="0" w:color="auto"/>
              <w:bottom w:val="single" w:sz="8" w:space="0" w:color="000000"/>
              <w:right w:val="single" w:sz="4" w:space="0" w:color="auto"/>
            </w:tcBorders>
            <w:vAlign w:val="center"/>
            <w:hideMark/>
          </w:tcPr>
          <w:p w14:paraId="3E49DCB0" w14:textId="77777777" w:rsidR="00A51B5D" w:rsidRPr="00390427" w:rsidRDefault="00A51B5D"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p>
        </w:tc>
        <w:tc>
          <w:tcPr>
            <w:tcW w:w="3760" w:type="dxa"/>
            <w:tcBorders>
              <w:top w:val="nil"/>
              <w:left w:val="nil"/>
              <w:bottom w:val="single" w:sz="8" w:space="0" w:color="auto"/>
              <w:right w:val="single" w:sz="4" w:space="0" w:color="auto"/>
            </w:tcBorders>
            <w:shd w:val="clear" w:color="auto" w:fill="auto"/>
            <w:vAlign w:val="center"/>
            <w:hideMark/>
          </w:tcPr>
          <w:p w14:paraId="32A428B3"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04" w:type="dxa"/>
            <w:tcBorders>
              <w:top w:val="nil"/>
              <w:left w:val="nil"/>
              <w:bottom w:val="single" w:sz="8" w:space="0" w:color="auto"/>
              <w:right w:val="single" w:sz="4" w:space="0" w:color="auto"/>
            </w:tcBorders>
            <w:shd w:val="clear" w:color="auto" w:fill="auto"/>
            <w:vAlign w:val="center"/>
            <w:hideMark/>
          </w:tcPr>
          <w:p w14:paraId="5EBA2FEB"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27CD42DC"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20" w:type="dxa"/>
            <w:tcBorders>
              <w:top w:val="nil"/>
              <w:left w:val="nil"/>
              <w:bottom w:val="single" w:sz="8" w:space="0" w:color="auto"/>
              <w:right w:val="single" w:sz="4" w:space="0" w:color="auto"/>
            </w:tcBorders>
            <w:shd w:val="clear" w:color="auto" w:fill="auto"/>
            <w:vAlign w:val="center"/>
            <w:hideMark/>
          </w:tcPr>
          <w:p w14:paraId="088AA866"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4A6B068E"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940" w:type="dxa"/>
            <w:tcBorders>
              <w:top w:val="nil"/>
              <w:left w:val="nil"/>
              <w:bottom w:val="single" w:sz="8" w:space="0" w:color="auto"/>
              <w:right w:val="single" w:sz="8" w:space="0" w:color="auto"/>
            </w:tcBorders>
            <w:shd w:val="clear" w:color="auto" w:fill="auto"/>
            <w:vAlign w:val="center"/>
            <w:hideMark/>
          </w:tcPr>
          <w:p w14:paraId="06E74397" w14:textId="77777777" w:rsidR="00A51B5D" w:rsidRPr="00390427" w:rsidRDefault="00A51B5D" w:rsidP="00A51B5D">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r>
      <w:tr w:rsidR="00390427" w:rsidRPr="00390427" w14:paraId="079AC058"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F8DF1F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CAP1.PA.LA141</w:t>
            </w:r>
          </w:p>
        </w:tc>
        <w:tc>
          <w:tcPr>
            <w:tcW w:w="3760" w:type="dxa"/>
            <w:tcBorders>
              <w:top w:val="nil"/>
              <w:left w:val="nil"/>
              <w:bottom w:val="single" w:sz="4" w:space="0" w:color="auto"/>
              <w:right w:val="single" w:sz="4" w:space="0" w:color="auto"/>
            </w:tcBorders>
            <w:shd w:val="clear" w:color="auto" w:fill="auto"/>
            <w:vAlign w:val="center"/>
            <w:hideMark/>
          </w:tcPr>
          <w:p w14:paraId="33882DE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04" w:type="dxa"/>
            <w:tcBorders>
              <w:top w:val="nil"/>
              <w:left w:val="nil"/>
              <w:bottom w:val="single" w:sz="4" w:space="0" w:color="auto"/>
              <w:right w:val="single" w:sz="4" w:space="0" w:color="auto"/>
            </w:tcBorders>
            <w:shd w:val="clear" w:color="auto" w:fill="auto"/>
            <w:vAlign w:val="center"/>
            <w:hideMark/>
          </w:tcPr>
          <w:p w14:paraId="0A54DD8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74C3D7F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ne hanno necessità, programmano i fabbisogni di innovazione, beni e servizi innovativi per l’anno 2023</w:t>
            </w:r>
          </w:p>
        </w:tc>
        <w:tc>
          <w:tcPr>
            <w:tcW w:w="1120" w:type="dxa"/>
            <w:tcBorders>
              <w:top w:val="nil"/>
              <w:left w:val="nil"/>
              <w:bottom w:val="single" w:sz="4" w:space="0" w:color="auto"/>
              <w:right w:val="single" w:sz="4" w:space="0" w:color="auto"/>
            </w:tcBorders>
            <w:shd w:val="clear" w:color="auto" w:fill="auto"/>
            <w:vAlign w:val="center"/>
            <w:hideMark/>
          </w:tcPr>
          <w:p w14:paraId="1840061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ottobre 2022 </w:t>
            </w:r>
          </w:p>
        </w:tc>
        <w:tc>
          <w:tcPr>
            <w:tcW w:w="3760" w:type="dxa"/>
            <w:tcBorders>
              <w:top w:val="nil"/>
              <w:left w:val="nil"/>
              <w:bottom w:val="single" w:sz="4" w:space="0" w:color="auto"/>
              <w:right w:val="single" w:sz="4" w:space="0" w:color="auto"/>
            </w:tcBorders>
            <w:shd w:val="clear" w:color="auto" w:fill="auto"/>
            <w:vAlign w:val="center"/>
            <w:hideMark/>
          </w:tcPr>
          <w:p w14:paraId="6B36ED4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ne hanno necessità, programmano i fabbisogni di innovazione, beni e servizi innovativi per l’anno 2023</w:t>
            </w:r>
          </w:p>
        </w:tc>
        <w:tc>
          <w:tcPr>
            <w:tcW w:w="940" w:type="dxa"/>
            <w:tcBorders>
              <w:top w:val="nil"/>
              <w:left w:val="nil"/>
              <w:bottom w:val="single" w:sz="4" w:space="0" w:color="auto"/>
              <w:right w:val="single" w:sz="4" w:space="0" w:color="auto"/>
            </w:tcBorders>
            <w:shd w:val="clear" w:color="auto" w:fill="auto"/>
            <w:vAlign w:val="center"/>
            <w:hideMark/>
          </w:tcPr>
          <w:p w14:paraId="3539DB3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ottobre 2022 </w:t>
            </w:r>
          </w:p>
        </w:tc>
      </w:tr>
      <w:tr w:rsidR="00390427" w:rsidRPr="00390427" w14:paraId="3C7B9452" w14:textId="77777777" w:rsidTr="00A51B5D">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6D1A5C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CAP1.PA.LA142</w:t>
            </w:r>
          </w:p>
        </w:tc>
        <w:tc>
          <w:tcPr>
            <w:tcW w:w="3760" w:type="dxa"/>
            <w:tcBorders>
              <w:top w:val="nil"/>
              <w:left w:val="nil"/>
              <w:bottom w:val="single" w:sz="4" w:space="0" w:color="auto"/>
              <w:right w:val="single" w:sz="4" w:space="0" w:color="auto"/>
            </w:tcBorders>
            <w:shd w:val="clear" w:color="auto" w:fill="auto"/>
            <w:vAlign w:val="center"/>
            <w:hideMark/>
          </w:tcPr>
          <w:p w14:paraId="43D13A1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1104" w:type="dxa"/>
            <w:tcBorders>
              <w:top w:val="nil"/>
              <w:left w:val="nil"/>
              <w:bottom w:val="single" w:sz="4" w:space="0" w:color="auto"/>
              <w:right w:val="single" w:sz="4" w:space="0" w:color="auto"/>
            </w:tcBorders>
            <w:shd w:val="clear" w:color="auto" w:fill="auto"/>
            <w:vAlign w:val="center"/>
            <w:hideMark/>
          </w:tcPr>
          <w:p w14:paraId="4CADDDF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452A331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ne hanno necessità, programmano i fabbisogni di innovazione, beni e servizi innovativi per l’anno 2024</w:t>
            </w:r>
          </w:p>
        </w:tc>
        <w:tc>
          <w:tcPr>
            <w:tcW w:w="1120" w:type="dxa"/>
            <w:tcBorders>
              <w:top w:val="nil"/>
              <w:left w:val="nil"/>
              <w:bottom w:val="single" w:sz="4" w:space="0" w:color="auto"/>
              <w:right w:val="single" w:sz="4" w:space="0" w:color="auto"/>
            </w:tcBorders>
            <w:shd w:val="clear" w:color="auto" w:fill="auto"/>
            <w:vAlign w:val="center"/>
            <w:hideMark/>
          </w:tcPr>
          <w:p w14:paraId="7EF7B13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ottobre 2023 </w:t>
            </w:r>
          </w:p>
        </w:tc>
        <w:tc>
          <w:tcPr>
            <w:tcW w:w="3760" w:type="dxa"/>
            <w:tcBorders>
              <w:top w:val="nil"/>
              <w:left w:val="nil"/>
              <w:bottom w:val="single" w:sz="4" w:space="0" w:color="auto"/>
              <w:right w:val="single" w:sz="4" w:space="0" w:color="auto"/>
            </w:tcBorders>
            <w:shd w:val="clear" w:color="auto" w:fill="auto"/>
            <w:vAlign w:val="center"/>
            <w:hideMark/>
          </w:tcPr>
          <w:p w14:paraId="7F5617A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ne hanno necessità, programmano i fabbisogni di innovazione, beni e servizi innovativi per l’anno 2024</w:t>
            </w:r>
          </w:p>
        </w:tc>
        <w:tc>
          <w:tcPr>
            <w:tcW w:w="940" w:type="dxa"/>
            <w:tcBorders>
              <w:top w:val="nil"/>
              <w:left w:val="nil"/>
              <w:bottom w:val="single" w:sz="4" w:space="0" w:color="auto"/>
              <w:right w:val="single" w:sz="4" w:space="0" w:color="auto"/>
            </w:tcBorders>
            <w:shd w:val="clear" w:color="auto" w:fill="auto"/>
            <w:vAlign w:val="center"/>
            <w:hideMark/>
          </w:tcPr>
          <w:p w14:paraId="24D5E33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ottobre 2023 </w:t>
            </w:r>
          </w:p>
        </w:tc>
      </w:tr>
    </w:tbl>
    <w:p w14:paraId="21741ADE" w14:textId="77777777" w:rsidR="00390427" w:rsidRDefault="00390427">
      <w:r>
        <w:br w:type="page"/>
      </w:r>
    </w:p>
    <w:tbl>
      <w:tblPr>
        <w:tblW w:w="15220" w:type="dxa"/>
        <w:tblCellMar>
          <w:left w:w="70" w:type="dxa"/>
          <w:right w:w="70" w:type="dxa"/>
        </w:tblCellMar>
        <w:tblLook w:val="04A0" w:firstRow="1" w:lastRow="0" w:firstColumn="1" w:lastColumn="0" w:noHBand="0" w:noVBand="1"/>
      </w:tblPr>
      <w:tblGrid>
        <w:gridCol w:w="1080"/>
        <w:gridCol w:w="3760"/>
        <w:gridCol w:w="800"/>
        <w:gridCol w:w="3760"/>
        <w:gridCol w:w="1120"/>
        <w:gridCol w:w="3760"/>
        <w:gridCol w:w="940"/>
      </w:tblGrid>
      <w:tr w:rsidR="00390427" w:rsidRPr="00390427" w14:paraId="6C373208" w14:textId="77777777" w:rsidTr="00E81077">
        <w:trPr>
          <w:trHeight w:val="315"/>
        </w:trPr>
        <w:tc>
          <w:tcPr>
            <w:tcW w:w="108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05CF095E" w14:textId="3E7B763F"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lastRenderedPageBreak/>
              <w:t xml:space="preserve">Obiettivo </w:t>
            </w:r>
            <w:r w:rsidRPr="00390427">
              <w:rPr>
                <w:rFonts w:ascii="Calibri" w:eastAsia="Times New Roman" w:hAnsi="Calibri" w:cs="Calibri"/>
                <w:b/>
                <w:bCs/>
                <w:color w:val="000000"/>
                <w:sz w:val="18"/>
                <w:szCs w:val="18"/>
                <w:lang w:eastAsia="it-IT"/>
              </w:rPr>
              <w:br/>
              <w:t>L.A.</w:t>
            </w:r>
          </w:p>
        </w:tc>
        <w:tc>
          <w:tcPr>
            <w:tcW w:w="4560" w:type="dxa"/>
            <w:gridSpan w:val="2"/>
            <w:tcBorders>
              <w:top w:val="single" w:sz="4" w:space="0" w:color="auto"/>
              <w:left w:val="nil"/>
              <w:bottom w:val="single" w:sz="4" w:space="0" w:color="auto"/>
              <w:right w:val="nil"/>
            </w:tcBorders>
            <w:shd w:val="clear" w:color="auto" w:fill="auto"/>
            <w:vAlign w:val="center"/>
            <w:hideMark/>
          </w:tcPr>
          <w:p w14:paraId="72A6FBE4"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1° Piano 2020-2022</w:t>
            </w:r>
          </w:p>
        </w:tc>
        <w:tc>
          <w:tcPr>
            <w:tcW w:w="4880" w:type="dxa"/>
            <w:gridSpan w:val="2"/>
            <w:tcBorders>
              <w:top w:val="single" w:sz="4" w:space="0" w:color="auto"/>
              <w:left w:val="single" w:sz="4" w:space="0" w:color="auto"/>
              <w:bottom w:val="single" w:sz="4" w:space="0" w:color="auto"/>
              <w:right w:val="nil"/>
            </w:tcBorders>
            <w:shd w:val="clear" w:color="auto" w:fill="auto"/>
            <w:vAlign w:val="center"/>
            <w:hideMark/>
          </w:tcPr>
          <w:p w14:paraId="0B1A4222"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2° Piano 2021-2023</w:t>
            </w:r>
          </w:p>
        </w:tc>
        <w:tc>
          <w:tcPr>
            <w:tcW w:w="4700"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14:paraId="0967BFD6"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3° Piano 2020-2024</w:t>
            </w:r>
          </w:p>
        </w:tc>
      </w:tr>
      <w:tr w:rsidR="00390427" w:rsidRPr="00390427" w14:paraId="24D5F096" w14:textId="77777777" w:rsidTr="00E81077">
        <w:trPr>
          <w:trHeight w:val="495"/>
        </w:trPr>
        <w:tc>
          <w:tcPr>
            <w:tcW w:w="1080" w:type="dxa"/>
            <w:vMerge/>
            <w:tcBorders>
              <w:top w:val="nil"/>
              <w:left w:val="single" w:sz="8" w:space="0" w:color="auto"/>
              <w:bottom w:val="single" w:sz="8" w:space="0" w:color="000000"/>
              <w:right w:val="single" w:sz="4" w:space="0" w:color="auto"/>
            </w:tcBorders>
            <w:vAlign w:val="center"/>
            <w:hideMark/>
          </w:tcPr>
          <w:p w14:paraId="1C874D14" w14:textId="77777777" w:rsidR="00390427" w:rsidRPr="00390427" w:rsidRDefault="00390427"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p>
        </w:tc>
        <w:tc>
          <w:tcPr>
            <w:tcW w:w="3760" w:type="dxa"/>
            <w:tcBorders>
              <w:top w:val="nil"/>
              <w:left w:val="nil"/>
              <w:bottom w:val="single" w:sz="8" w:space="0" w:color="auto"/>
              <w:right w:val="single" w:sz="4" w:space="0" w:color="auto"/>
            </w:tcBorders>
            <w:shd w:val="clear" w:color="auto" w:fill="auto"/>
            <w:vAlign w:val="center"/>
            <w:hideMark/>
          </w:tcPr>
          <w:p w14:paraId="0DA4A899" w14:textId="77777777" w:rsidR="00390427" w:rsidRPr="00390427" w:rsidRDefault="00390427"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800" w:type="dxa"/>
            <w:tcBorders>
              <w:top w:val="nil"/>
              <w:left w:val="nil"/>
              <w:bottom w:val="single" w:sz="8" w:space="0" w:color="auto"/>
              <w:right w:val="single" w:sz="4" w:space="0" w:color="auto"/>
            </w:tcBorders>
            <w:shd w:val="clear" w:color="auto" w:fill="auto"/>
            <w:vAlign w:val="center"/>
            <w:hideMark/>
          </w:tcPr>
          <w:p w14:paraId="00E4AF22"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601F4BA5" w14:textId="77777777" w:rsidR="00390427" w:rsidRPr="00390427" w:rsidRDefault="00390427"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1120" w:type="dxa"/>
            <w:tcBorders>
              <w:top w:val="nil"/>
              <w:left w:val="nil"/>
              <w:bottom w:val="single" w:sz="8" w:space="0" w:color="auto"/>
              <w:right w:val="single" w:sz="4" w:space="0" w:color="auto"/>
            </w:tcBorders>
            <w:shd w:val="clear" w:color="auto" w:fill="auto"/>
            <w:vAlign w:val="center"/>
            <w:hideMark/>
          </w:tcPr>
          <w:p w14:paraId="2BA5DDCC"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c>
          <w:tcPr>
            <w:tcW w:w="3760" w:type="dxa"/>
            <w:tcBorders>
              <w:top w:val="nil"/>
              <w:left w:val="nil"/>
              <w:bottom w:val="single" w:sz="8" w:space="0" w:color="auto"/>
              <w:right w:val="single" w:sz="4" w:space="0" w:color="auto"/>
            </w:tcBorders>
            <w:shd w:val="clear" w:color="auto" w:fill="auto"/>
            <w:vAlign w:val="center"/>
            <w:hideMark/>
          </w:tcPr>
          <w:p w14:paraId="153AACC9" w14:textId="77777777" w:rsidR="00390427" w:rsidRPr="00390427" w:rsidRDefault="00390427" w:rsidP="00E81077">
            <w:pPr>
              <w:suppressAutoHyphens w:val="0"/>
              <w:spacing w:before="0" w:after="0" w:line="240" w:lineRule="auto"/>
              <w:ind w:left="0" w:right="0"/>
              <w:jc w:val="left"/>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Descrizione</w:t>
            </w:r>
          </w:p>
        </w:tc>
        <w:tc>
          <w:tcPr>
            <w:tcW w:w="940" w:type="dxa"/>
            <w:tcBorders>
              <w:top w:val="nil"/>
              <w:left w:val="nil"/>
              <w:bottom w:val="single" w:sz="8" w:space="0" w:color="auto"/>
              <w:right w:val="single" w:sz="8" w:space="0" w:color="auto"/>
            </w:tcBorders>
            <w:shd w:val="clear" w:color="auto" w:fill="auto"/>
            <w:vAlign w:val="center"/>
            <w:hideMark/>
          </w:tcPr>
          <w:p w14:paraId="07034E0D" w14:textId="77777777" w:rsidR="00390427" w:rsidRPr="00390427" w:rsidRDefault="00390427" w:rsidP="00E81077">
            <w:pPr>
              <w:suppressAutoHyphens w:val="0"/>
              <w:spacing w:before="0" w:after="0" w:line="240" w:lineRule="auto"/>
              <w:ind w:left="0" w:right="0"/>
              <w:jc w:val="center"/>
              <w:rPr>
                <w:rFonts w:ascii="Calibri" w:eastAsia="Times New Roman" w:hAnsi="Calibri" w:cs="Calibri"/>
                <w:b/>
                <w:bCs/>
                <w:color w:val="000000"/>
                <w:sz w:val="18"/>
                <w:szCs w:val="18"/>
                <w:lang w:eastAsia="it-IT"/>
              </w:rPr>
            </w:pPr>
            <w:r w:rsidRPr="00390427">
              <w:rPr>
                <w:rFonts w:ascii="Calibri" w:eastAsia="Times New Roman" w:hAnsi="Calibri" w:cs="Calibri"/>
                <w:b/>
                <w:bCs/>
                <w:color w:val="000000"/>
                <w:sz w:val="18"/>
                <w:szCs w:val="18"/>
                <w:lang w:eastAsia="it-IT"/>
              </w:rPr>
              <w:t xml:space="preserve">Inizio </w:t>
            </w:r>
            <w:r w:rsidRPr="00390427">
              <w:rPr>
                <w:rFonts w:ascii="Calibri" w:eastAsia="Times New Roman" w:hAnsi="Calibri" w:cs="Calibri"/>
                <w:b/>
                <w:bCs/>
                <w:color w:val="000000"/>
                <w:sz w:val="18"/>
                <w:szCs w:val="18"/>
                <w:lang w:eastAsia="it-IT"/>
              </w:rPr>
              <w:br/>
              <w:t>Scadenza</w:t>
            </w:r>
          </w:p>
        </w:tc>
      </w:tr>
      <w:tr w:rsidR="00390427" w:rsidRPr="00390427" w14:paraId="5F7CD3D2"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BF5DC9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CAP1.PA.LA158</w:t>
            </w:r>
          </w:p>
        </w:tc>
        <w:tc>
          <w:tcPr>
            <w:tcW w:w="3760" w:type="dxa"/>
            <w:tcBorders>
              <w:top w:val="nil"/>
              <w:left w:val="nil"/>
              <w:bottom w:val="single" w:sz="4" w:space="0" w:color="auto"/>
              <w:right w:val="single" w:sz="4" w:space="0" w:color="auto"/>
            </w:tcBorders>
            <w:shd w:val="clear" w:color="auto" w:fill="auto"/>
            <w:vAlign w:val="center"/>
            <w:hideMark/>
          </w:tcPr>
          <w:p w14:paraId="521D502C"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avviano le attività definite nei Piani operativi degli Accordi territoriali con il supporto dei PMO</w:t>
            </w:r>
          </w:p>
        </w:tc>
        <w:tc>
          <w:tcPr>
            <w:tcW w:w="800" w:type="dxa"/>
            <w:tcBorders>
              <w:top w:val="nil"/>
              <w:left w:val="nil"/>
              <w:bottom w:val="single" w:sz="4" w:space="0" w:color="auto"/>
              <w:right w:val="single" w:sz="4" w:space="0" w:color="auto"/>
            </w:tcBorders>
            <w:shd w:val="clear" w:color="auto" w:fill="auto"/>
            <w:vAlign w:val="center"/>
            <w:hideMark/>
          </w:tcPr>
          <w:p w14:paraId="4999796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c>
          <w:tcPr>
            <w:tcW w:w="3760" w:type="dxa"/>
            <w:tcBorders>
              <w:top w:val="nil"/>
              <w:left w:val="nil"/>
              <w:bottom w:val="single" w:sz="4" w:space="0" w:color="auto"/>
              <w:right w:val="single" w:sz="4" w:space="0" w:color="auto"/>
            </w:tcBorders>
            <w:shd w:val="clear" w:color="auto" w:fill="auto"/>
            <w:vAlign w:val="center"/>
            <w:hideMark/>
          </w:tcPr>
          <w:p w14:paraId="1FD45BD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avviano le attività definite nei Piani operativi degli Accordi territoriali con il supporto dei PMO</w:t>
            </w:r>
          </w:p>
        </w:tc>
        <w:tc>
          <w:tcPr>
            <w:tcW w:w="1120" w:type="dxa"/>
            <w:tcBorders>
              <w:top w:val="nil"/>
              <w:left w:val="nil"/>
              <w:bottom w:val="single" w:sz="4" w:space="0" w:color="auto"/>
              <w:right w:val="single" w:sz="4" w:space="0" w:color="auto"/>
            </w:tcBorders>
            <w:shd w:val="clear" w:color="auto" w:fill="auto"/>
            <w:vAlign w:val="center"/>
            <w:hideMark/>
          </w:tcPr>
          <w:p w14:paraId="30D2EEC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c>
          <w:tcPr>
            <w:tcW w:w="3760" w:type="dxa"/>
            <w:tcBorders>
              <w:top w:val="nil"/>
              <w:left w:val="nil"/>
              <w:bottom w:val="single" w:sz="4" w:space="0" w:color="auto"/>
              <w:right w:val="single" w:sz="4" w:space="0" w:color="auto"/>
            </w:tcBorders>
            <w:shd w:val="clear" w:color="auto" w:fill="auto"/>
            <w:vAlign w:val="center"/>
            <w:hideMark/>
          </w:tcPr>
          <w:p w14:paraId="271F860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avviano le attività definite nei Piani operativi degli Accordi territoriali con il supporto dei PMO</w:t>
            </w:r>
          </w:p>
        </w:tc>
        <w:tc>
          <w:tcPr>
            <w:tcW w:w="940" w:type="dxa"/>
            <w:tcBorders>
              <w:top w:val="nil"/>
              <w:left w:val="nil"/>
              <w:bottom w:val="single" w:sz="4" w:space="0" w:color="auto"/>
              <w:right w:val="single" w:sz="4" w:space="0" w:color="auto"/>
            </w:tcBorders>
            <w:shd w:val="clear" w:color="auto" w:fill="auto"/>
            <w:vAlign w:val="center"/>
            <w:hideMark/>
          </w:tcPr>
          <w:p w14:paraId="7F64F7A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r>
      <w:tr w:rsidR="00390427" w:rsidRPr="00390427" w14:paraId="3C7C5FD1"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2D714B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CAP1.PA.LA159</w:t>
            </w:r>
          </w:p>
        </w:tc>
        <w:tc>
          <w:tcPr>
            <w:tcW w:w="3760" w:type="dxa"/>
            <w:tcBorders>
              <w:top w:val="nil"/>
              <w:left w:val="nil"/>
              <w:bottom w:val="single" w:sz="4" w:space="0" w:color="auto"/>
              <w:right w:val="single" w:sz="4" w:space="0" w:color="auto"/>
            </w:tcBorders>
            <w:shd w:val="clear" w:color="auto" w:fill="auto"/>
            <w:vAlign w:val="center"/>
            <w:hideMark/>
          </w:tcPr>
          <w:p w14:paraId="20420912"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Regioni e Province Autonome e le PAL interessate condividono i piani operativi di intervento dei Nodi Territoriali di Competenza per il CdCT “Riuso e Open Source” nel rispetto delle specificità dei singoli territori</w:t>
            </w:r>
          </w:p>
        </w:tc>
        <w:tc>
          <w:tcPr>
            <w:tcW w:w="800" w:type="dxa"/>
            <w:tcBorders>
              <w:top w:val="nil"/>
              <w:left w:val="nil"/>
              <w:bottom w:val="single" w:sz="4" w:space="0" w:color="auto"/>
              <w:right w:val="single" w:sz="4" w:space="0" w:color="auto"/>
            </w:tcBorders>
            <w:shd w:val="clear" w:color="auto" w:fill="auto"/>
            <w:vAlign w:val="center"/>
            <w:hideMark/>
          </w:tcPr>
          <w:p w14:paraId="2062BC8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marzo 2022  </w:t>
            </w:r>
          </w:p>
        </w:tc>
        <w:tc>
          <w:tcPr>
            <w:tcW w:w="3760" w:type="dxa"/>
            <w:tcBorders>
              <w:top w:val="nil"/>
              <w:left w:val="nil"/>
              <w:bottom w:val="single" w:sz="4" w:space="0" w:color="auto"/>
              <w:right w:val="single" w:sz="4" w:space="0" w:color="auto"/>
            </w:tcBorders>
            <w:shd w:val="clear" w:color="auto" w:fill="auto"/>
            <w:vAlign w:val="center"/>
            <w:hideMark/>
          </w:tcPr>
          <w:p w14:paraId="06E82BD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Regioni e Province Autonome e le PAL interessate condividono i piani operativi di intervento dei Nodi Territoriali di Competenza per il CdCT “Riuso e Open Source” nel rispetto delle specificità dei singoli territori</w:t>
            </w:r>
          </w:p>
        </w:tc>
        <w:tc>
          <w:tcPr>
            <w:tcW w:w="1120" w:type="dxa"/>
            <w:tcBorders>
              <w:top w:val="nil"/>
              <w:left w:val="nil"/>
              <w:bottom w:val="single" w:sz="4" w:space="0" w:color="auto"/>
              <w:right w:val="single" w:sz="4" w:space="0" w:color="auto"/>
            </w:tcBorders>
            <w:shd w:val="clear" w:color="auto" w:fill="auto"/>
            <w:vAlign w:val="center"/>
            <w:hideMark/>
          </w:tcPr>
          <w:p w14:paraId="13E7916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marzo 2022  </w:t>
            </w:r>
          </w:p>
        </w:tc>
        <w:tc>
          <w:tcPr>
            <w:tcW w:w="3760" w:type="dxa"/>
            <w:tcBorders>
              <w:top w:val="nil"/>
              <w:left w:val="nil"/>
              <w:bottom w:val="single" w:sz="4" w:space="0" w:color="auto"/>
              <w:right w:val="single" w:sz="4" w:space="0" w:color="auto"/>
            </w:tcBorders>
            <w:shd w:val="clear" w:color="auto" w:fill="auto"/>
            <w:vAlign w:val="center"/>
            <w:hideMark/>
          </w:tcPr>
          <w:p w14:paraId="35C3022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Regioni e Province Autonome e le PAL interessate condividono i piani operativi di intervento dei Nodi Territoriali di Competenza per il CdCT “Riuso e Open Source” nel rispetto delle specificità dei singoli territori</w:t>
            </w:r>
          </w:p>
        </w:tc>
        <w:tc>
          <w:tcPr>
            <w:tcW w:w="940" w:type="dxa"/>
            <w:tcBorders>
              <w:top w:val="nil"/>
              <w:left w:val="nil"/>
              <w:bottom w:val="single" w:sz="4" w:space="0" w:color="auto"/>
              <w:right w:val="single" w:sz="4" w:space="0" w:color="auto"/>
            </w:tcBorders>
            <w:shd w:val="clear" w:color="auto" w:fill="auto"/>
            <w:vAlign w:val="center"/>
            <w:hideMark/>
          </w:tcPr>
          <w:p w14:paraId="1535655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marzo 2022  </w:t>
            </w:r>
          </w:p>
        </w:tc>
      </w:tr>
      <w:tr w:rsidR="00390427" w:rsidRPr="00390427" w14:paraId="5931E6DD"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A749FC8"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CAP1.PA.LA160</w:t>
            </w:r>
          </w:p>
        </w:tc>
        <w:tc>
          <w:tcPr>
            <w:tcW w:w="3760" w:type="dxa"/>
            <w:tcBorders>
              <w:top w:val="nil"/>
              <w:left w:val="nil"/>
              <w:bottom w:val="single" w:sz="4" w:space="0" w:color="auto"/>
              <w:right w:val="single" w:sz="4" w:space="0" w:color="auto"/>
            </w:tcBorders>
            <w:shd w:val="clear" w:color="auto" w:fill="auto"/>
            <w:vAlign w:val="center"/>
            <w:hideMark/>
          </w:tcPr>
          <w:p w14:paraId="372280BE"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Regioni e Province Autonome e le PAL interessate avviano le attività definite nei Piani operativi degli Accordi territoriali con il supporto dei PMO</w:t>
            </w:r>
          </w:p>
        </w:tc>
        <w:tc>
          <w:tcPr>
            <w:tcW w:w="800" w:type="dxa"/>
            <w:tcBorders>
              <w:top w:val="nil"/>
              <w:left w:val="nil"/>
              <w:bottom w:val="single" w:sz="4" w:space="0" w:color="auto"/>
              <w:right w:val="single" w:sz="4" w:space="0" w:color="auto"/>
            </w:tcBorders>
            <w:shd w:val="clear" w:color="auto" w:fill="auto"/>
            <w:vAlign w:val="center"/>
            <w:hideMark/>
          </w:tcPr>
          <w:p w14:paraId="41B1BEA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2022  </w:t>
            </w:r>
          </w:p>
        </w:tc>
        <w:tc>
          <w:tcPr>
            <w:tcW w:w="3760" w:type="dxa"/>
            <w:tcBorders>
              <w:top w:val="nil"/>
              <w:left w:val="nil"/>
              <w:bottom w:val="single" w:sz="4" w:space="0" w:color="auto"/>
              <w:right w:val="single" w:sz="4" w:space="0" w:color="auto"/>
            </w:tcBorders>
            <w:shd w:val="clear" w:color="auto" w:fill="auto"/>
            <w:vAlign w:val="center"/>
            <w:hideMark/>
          </w:tcPr>
          <w:p w14:paraId="5AEB1CE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Regioni e Province Autonome e le PAL interessate avviano le attività definite nei Piani operativi degli Accordi territoriali con il supporto dei PMO</w:t>
            </w:r>
          </w:p>
        </w:tc>
        <w:tc>
          <w:tcPr>
            <w:tcW w:w="1120" w:type="dxa"/>
            <w:tcBorders>
              <w:top w:val="nil"/>
              <w:left w:val="nil"/>
              <w:bottom w:val="single" w:sz="4" w:space="0" w:color="auto"/>
              <w:right w:val="single" w:sz="4" w:space="0" w:color="auto"/>
            </w:tcBorders>
            <w:shd w:val="clear" w:color="auto" w:fill="auto"/>
            <w:vAlign w:val="center"/>
            <w:hideMark/>
          </w:tcPr>
          <w:p w14:paraId="08BF96E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2022  </w:t>
            </w:r>
          </w:p>
        </w:tc>
        <w:tc>
          <w:tcPr>
            <w:tcW w:w="3760" w:type="dxa"/>
            <w:tcBorders>
              <w:top w:val="nil"/>
              <w:left w:val="nil"/>
              <w:bottom w:val="single" w:sz="4" w:space="0" w:color="auto"/>
              <w:right w:val="single" w:sz="4" w:space="0" w:color="auto"/>
            </w:tcBorders>
            <w:shd w:val="clear" w:color="auto" w:fill="auto"/>
            <w:vAlign w:val="center"/>
            <w:hideMark/>
          </w:tcPr>
          <w:p w14:paraId="390D6B2C"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Regioni e Province Autonome e le PAL interessate avviano le attività definite nei Piani operativi degli Accordi territoriali con il supporto dei PMO</w:t>
            </w:r>
          </w:p>
        </w:tc>
        <w:tc>
          <w:tcPr>
            <w:tcW w:w="940" w:type="dxa"/>
            <w:tcBorders>
              <w:top w:val="nil"/>
              <w:left w:val="nil"/>
              <w:bottom w:val="single" w:sz="4" w:space="0" w:color="auto"/>
              <w:right w:val="single" w:sz="4" w:space="0" w:color="auto"/>
            </w:tcBorders>
            <w:shd w:val="clear" w:color="auto" w:fill="auto"/>
            <w:vAlign w:val="center"/>
            <w:hideMark/>
          </w:tcPr>
          <w:p w14:paraId="52D53A7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dicembre 2022  </w:t>
            </w:r>
          </w:p>
        </w:tc>
      </w:tr>
      <w:tr w:rsidR="00390427" w:rsidRPr="00390427" w14:paraId="0B0257CC"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A72861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CAP1.PA.LA161</w:t>
            </w:r>
          </w:p>
        </w:tc>
        <w:tc>
          <w:tcPr>
            <w:tcW w:w="3760" w:type="dxa"/>
            <w:tcBorders>
              <w:top w:val="nil"/>
              <w:left w:val="nil"/>
              <w:bottom w:val="single" w:sz="4" w:space="0" w:color="auto"/>
              <w:right w:val="single" w:sz="4" w:space="0" w:color="auto"/>
            </w:tcBorders>
            <w:shd w:val="clear" w:color="auto" w:fill="auto"/>
            <w:vAlign w:val="center"/>
            <w:hideMark/>
          </w:tcPr>
          <w:p w14:paraId="46904B4C"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hanno nominato il RTD aderiscono alla piattaforma di community</w:t>
            </w:r>
          </w:p>
        </w:tc>
        <w:tc>
          <w:tcPr>
            <w:tcW w:w="800" w:type="dxa"/>
            <w:tcBorders>
              <w:top w:val="nil"/>
              <w:left w:val="nil"/>
              <w:bottom w:val="single" w:sz="4" w:space="0" w:color="auto"/>
              <w:right w:val="single" w:sz="4" w:space="0" w:color="auto"/>
            </w:tcBorders>
            <w:shd w:val="clear" w:color="auto" w:fill="auto"/>
            <w:vAlign w:val="center"/>
            <w:hideMark/>
          </w:tcPr>
          <w:p w14:paraId="28A57C00"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2021  </w:t>
            </w:r>
          </w:p>
        </w:tc>
        <w:tc>
          <w:tcPr>
            <w:tcW w:w="3760" w:type="dxa"/>
            <w:tcBorders>
              <w:top w:val="nil"/>
              <w:left w:val="nil"/>
              <w:bottom w:val="single" w:sz="4" w:space="0" w:color="auto"/>
              <w:right w:val="single" w:sz="4" w:space="0" w:color="auto"/>
            </w:tcBorders>
            <w:shd w:val="clear" w:color="auto" w:fill="auto"/>
            <w:vAlign w:val="center"/>
            <w:hideMark/>
          </w:tcPr>
          <w:p w14:paraId="6F92DA39"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hanno nominato il RTD possono aderire alla piattaforma di community</w:t>
            </w:r>
          </w:p>
        </w:tc>
        <w:tc>
          <w:tcPr>
            <w:tcW w:w="1120" w:type="dxa"/>
            <w:tcBorders>
              <w:top w:val="nil"/>
              <w:left w:val="nil"/>
              <w:bottom w:val="single" w:sz="4" w:space="0" w:color="auto"/>
              <w:right w:val="single" w:sz="4" w:space="0" w:color="auto"/>
            </w:tcBorders>
            <w:shd w:val="clear" w:color="auto" w:fill="auto"/>
            <w:vAlign w:val="center"/>
            <w:hideMark/>
          </w:tcPr>
          <w:p w14:paraId="6FCAAED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2021 (in corso)  </w:t>
            </w:r>
          </w:p>
        </w:tc>
        <w:tc>
          <w:tcPr>
            <w:tcW w:w="3760" w:type="dxa"/>
            <w:tcBorders>
              <w:top w:val="nil"/>
              <w:left w:val="nil"/>
              <w:bottom w:val="single" w:sz="4" w:space="0" w:color="auto"/>
              <w:right w:val="single" w:sz="4" w:space="0" w:color="auto"/>
            </w:tcBorders>
            <w:shd w:val="clear" w:color="auto" w:fill="auto"/>
            <w:vAlign w:val="center"/>
            <w:hideMark/>
          </w:tcPr>
          <w:p w14:paraId="4DA1A0B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che hanno nominato il RTD possono aderire alla piattaforma di community</w:t>
            </w:r>
          </w:p>
        </w:tc>
        <w:tc>
          <w:tcPr>
            <w:tcW w:w="940" w:type="dxa"/>
            <w:tcBorders>
              <w:top w:val="nil"/>
              <w:left w:val="nil"/>
              <w:bottom w:val="single" w:sz="4" w:space="0" w:color="auto"/>
              <w:right w:val="single" w:sz="4" w:space="0" w:color="auto"/>
            </w:tcBorders>
            <w:shd w:val="clear" w:color="auto" w:fill="auto"/>
            <w:vAlign w:val="center"/>
            <w:hideMark/>
          </w:tcPr>
          <w:p w14:paraId="4C9F015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2021 (in corso)  </w:t>
            </w:r>
          </w:p>
        </w:tc>
      </w:tr>
      <w:tr w:rsidR="00390427" w:rsidRPr="00390427" w14:paraId="3E9FB3C1"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3EED8A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CAP1.PA.LA164</w:t>
            </w:r>
          </w:p>
        </w:tc>
        <w:tc>
          <w:tcPr>
            <w:tcW w:w="3760" w:type="dxa"/>
            <w:tcBorders>
              <w:top w:val="nil"/>
              <w:left w:val="nil"/>
              <w:bottom w:val="single" w:sz="4" w:space="0" w:color="auto"/>
              <w:right w:val="single" w:sz="4" w:space="0" w:color="auto"/>
            </w:tcBorders>
            <w:shd w:val="clear" w:color="auto" w:fill="auto"/>
            <w:vAlign w:val="center"/>
            <w:hideMark/>
          </w:tcPr>
          <w:p w14:paraId="2CF9F9E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attraverso i propri RTD, partecipano alle survey periodiche sui fabbisogni di formazione del personale, in tema di trasformazione digitale</w:t>
            </w:r>
          </w:p>
        </w:tc>
        <w:tc>
          <w:tcPr>
            <w:tcW w:w="800" w:type="dxa"/>
            <w:tcBorders>
              <w:top w:val="nil"/>
              <w:left w:val="nil"/>
              <w:bottom w:val="single" w:sz="4" w:space="0" w:color="auto"/>
              <w:right w:val="single" w:sz="4" w:space="0" w:color="auto"/>
            </w:tcBorders>
            <w:shd w:val="clear" w:color="auto" w:fill="auto"/>
            <w:vAlign w:val="center"/>
            <w:hideMark/>
          </w:tcPr>
          <w:p w14:paraId="0CF3C83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marzo 2021  </w:t>
            </w:r>
          </w:p>
        </w:tc>
        <w:tc>
          <w:tcPr>
            <w:tcW w:w="3760" w:type="dxa"/>
            <w:tcBorders>
              <w:top w:val="nil"/>
              <w:left w:val="nil"/>
              <w:bottom w:val="single" w:sz="4" w:space="0" w:color="auto"/>
              <w:right w:val="single" w:sz="4" w:space="0" w:color="auto"/>
            </w:tcBorders>
            <w:shd w:val="clear" w:color="auto" w:fill="auto"/>
            <w:vAlign w:val="center"/>
            <w:hideMark/>
          </w:tcPr>
          <w:p w14:paraId="7F55990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attraverso i propri RTD, partecipano alle survey periodiche sui fabbisogni di formazione del personale, in tema di trasformazione digitale</w:t>
            </w:r>
          </w:p>
        </w:tc>
        <w:tc>
          <w:tcPr>
            <w:tcW w:w="1120" w:type="dxa"/>
            <w:tcBorders>
              <w:top w:val="nil"/>
              <w:left w:val="nil"/>
              <w:bottom w:val="single" w:sz="4" w:space="0" w:color="auto"/>
              <w:right w:val="single" w:sz="4" w:space="0" w:color="auto"/>
            </w:tcBorders>
            <w:shd w:val="clear" w:color="auto" w:fill="auto"/>
            <w:vAlign w:val="center"/>
            <w:hideMark/>
          </w:tcPr>
          <w:p w14:paraId="11DCD60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c>
          <w:tcPr>
            <w:tcW w:w="3760" w:type="dxa"/>
            <w:tcBorders>
              <w:top w:val="nil"/>
              <w:left w:val="nil"/>
              <w:bottom w:val="single" w:sz="4" w:space="0" w:color="auto"/>
              <w:right w:val="single" w:sz="4" w:space="0" w:color="auto"/>
            </w:tcBorders>
            <w:shd w:val="clear" w:color="auto" w:fill="auto"/>
            <w:vAlign w:val="center"/>
            <w:hideMark/>
          </w:tcPr>
          <w:p w14:paraId="600C53DD"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attraverso i propri RTD, partecipano alle survey periodiche sui fabbisogni di formazione del personale, in tema di trasformazione digitale</w:t>
            </w:r>
          </w:p>
        </w:tc>
        <w:tc>
          <w:tcPr>
            <w:tcW w:w="940" w:type="dxa"/>
            <w:tcBorders>
              <w:top w:val="nil"/>
              <w:left w:val="nil"/>
              <w:bottom w:val="single" w:sz="4" w:space="0" w:color="auto"/>
              <w:right w:val="single" w:sz="4" w:space="0" w:color="auto"/>
            </w:tcBorders>
            <w:shd w:val="clear" w:color="auto" w:fill="auto"/>
            <w:vAlign w:val="center"/>
            <w:hideMark/>
          </w:tcPr>
          <w:p w14:paraId="53FA266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r>
      <w:tr w:rsidR="00390427" w:rsidRPr="00390427" w14:paraId="181ACDA2"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FBFBC6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CAP1.PA.LA165</w:t>
            </w:r>
          </w:p>
        </w:tc>
        <w:tc>
          <w:tcPr>
            <w:tcW w:w="3760" w:type="dxa"/>
            <w:tcBorders>
              <w:top w:val="nil"/>
              <w:left w:val="nil"/>
              <w:bottom w:val="single" w:sz="4" w:space="0" w:color="auto"/>
              <w:right w:val="single" w:sz="4" w:space="0" w:color="auto"/>
            </w:tcBorders>
            <w:shd w:val="clear" w:color="auto" w:fill="auto"/>
            <w:vAlign w:val="center"/>
            <w:hideMark/>
          </w:tcPr>
          <w:p w14:paraId="49AB3AE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procedono in forma aggregata alla nomina formale di RTD</w:t>
            </w:r>
          </w:p>
        </w:tc>
        <w:tc>
          <w:tcPr>
            <w:tcW w:w="800" w:type="dxa"/>
            <w:tcBorders>
              <w:top w:val="nil"/>
              <w:left w:val="nil"/>
              <w:bottom w:val="single" w:sz="4" w:space="0" w:color="auto"/>
              <w:right w:val="single" w:sz="4" w:space="0" w:color="auto"/>
            </w:tcBorders>
            <w:shd w:val="clear" w:color="auto" w:fill="auto"/>
            <w:vAlign w:val="center"/>
            <w:hideMark/>
          </w:tcPr>
          <w:p w14:paraId="48FF329D"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aprile 2021  </w:t>
            </w:r>
          </w:p>
        </w:tc>
        <w:tc>
          <w:tcPr>
            <w:tcW w:w="3760" w:type="dxa"/>
            <w:tcBorders>
              <w:top w:val="nil"/>
              <w:left w:val="nil"/>
              <w:bottom w:val="single" w:sz="4" w:space="0" w:color="auto"/>
              <w:right w:val="single" w:sz="4" w:space="0" w:color="auto"/>
            </w:tcBorders>
            <w:shd w:val="clear" w:color="auto" w:fill="auto"/>
            <w:vAlign w:val="center"/>
            <w:hideMark/>
          </w:tcPr>
          <w:p w14:paraId="01459F8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in base alle proprie esigenze, procedono in forma aggregata alla nomina formale di RTD</w:t>
            </w:r>
          </w:p>
        </w:tc>
        <w:tc>
          <w:tcPr>
            <w:tcW w:w="1120" w:type="dxa"/>
            <w:tcBorders>
              <w:top w:val="nil"/>
              <w:left w:val="nil"/>
              <w:bottom w:val="single" w:sz="4" w:space="0" w:color="auto"/>
              <w:right w:val="single" w:sz="4" w:space="0" w:color="auto"/>
            </w:tcBorders>
            <w:shd w:val="clear" w:color="auto" w:fill="auto"/>
            <w:vAlign w:val="center"/>
            <w:hideMark/>
          </w:tcPr>
          <w:p w14:paraId="6706E15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aprile 2021 (in corso)  </w:t>
            </w:r>
          </w:p>
        </w:tc>
        <w:tc>
          <w:tcPr>
            <w:tcW w:w="3760" w:type="dxa"/>
            <w:tcBorders>
              <w:top w:val="nil"/>
              <w:left w:val="nil"/>
              <w:bottom w:val="single" w:sz="4" w:space="0" w:color="auto"/>
              <w:right w:val="single" w:sz="4" w:space="0" w:color="auto"/>
            </w:tcBorders>
            <w:shd w:val="clear" w:color="auto" w:fill="auto"/>
            <w:vAlign w:val="center"/>
            <w:hideMark/>
          </w:tcPr>
          <w:p w14:paraId="0E00209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PAL, in base alle proprie esigenze, procedono in forma aggregata alla nomina formale di RTD</w:t>
            </w:r>
          </w:p>
        </w:tc>
        <w:tc>
          <w:tcPr>
            <w:tcW w:w="940" w:type="dxa"/>
            <w:tcBorders>
              <w:top w:val="nil"/>
              <w:left w:val="nil"/>
              <w:bottom w:val="single" w:sz="4" w:space="0" w:color="auto"/>
              <w:right w:val="single" w:sz="4" w:space="0" w:color="auto"/>
            </w:tcBorders>
            <w:shd w:val="clear" w:color="auto" w:fill="auto"/>
            <w:vAlign w:val="center"/>
            <w:hideMark/>
          </w:tcPr>
          <w:p w14:paraId="35EE7567"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aprile 2021 (in corso)  </w:t>
            </w:r>
          </w:p>
        </w:tc>
      </w:tr>
      <w:tr w:rsidR="00390427" w:rsidRPr="00390427" w14:paraId="48D20CD6"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74F71D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CAP1.PA.LA166</w:t>
            </w:r>
          </w:p>
        </w:tc>
        <w:tc>
          <w:tcPr>
            <w:tcW w:w="3760" w:type="dxa"/>
            <w:tcBorders>
              <w:top w:val="nil"/>
              <w:left w:val="nil"/>
              <w:bottom w:val="single" w:sz="4" w:space="0" w:color="auto"/>
              <w:right w:val="single" w:sz="4" w:space="0" w:color="auto"/>
            </w:tcBorders>
            <w:shd w:val="clear" w:color="auto" w:fill="auto"/>
            <w:vAlign w:val="center"/>
            <w:hideMark/>
          </w:tcPr>
          <w:p w14:paraId="1DCEB1C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nell’ambito della pianificazione per l’attuazione della propria strategia digitale, valutano gli strumenti di procurement disponibili</w:t>
            </w:r>
          </w:p>
        </w:tc>
        <w:tc>
          <w:tcPr>
            <w:tcW w:w="800" w:type="dxa"/>
            <w:tcBorders>
              <w:top w:val="nil"/>
              <w:left w:val="nil"/>
              <w:bottom w:val="single" w:sz="4" w:space="0" w:color="auto"/>
              <w:right w:val="single" w:sz="4" w:space="0" w:color="auto"/>
            </w:tcBorders>
            <w:shd w:val="clear" w:color="auto" w:fill="auto"/>
            <w:vAlign w:val="center"/>
            <w:hideMark/>
          </w:tcPr>
          <w:p w14:paraId="1D86D80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c>
          <w:tcPr>
            <w:tcW w:w="3760" w:type="dxa"/>
            <w:tcBorders>
              <w:top w:val="nil"/>
              <w:left w:val="nil"/>
              <w:bottom w:val="single" w:sz="4" w:space="0" w:color="auto"/>
              <w:right w:val="single" w:sz="4" w:space="0" w:color="auto"/>
            </w:tcBorders>
            <w:shd w:val="clear" w:color="auto" w:fill="auto"/>
            <w:vAlign w:val="center"/>
            <w:hideMark/>
          </w:tcPr>
          <w:p w14:paraId="5919D82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nell’ambito della pianificazione per l’attuazione della propria strategia digitale, valutano gli strumenti di procurement disponibili</w:t>
            </w:r>
          </w:p>
        </w:tc>
        <w:tc>
          <w:tcPr>
            <w:tcW w:w="1120" w:type="dxa"/>
            <w:tcBorders>
              <w:top w:val="nil"/>
              <w:left w:val="nil"/>
              <w:bottom w:val="single" w:sz="4" w:space="0" w:color="auto"/>
              <w:right w:val="single" w:sz="4" w:space="0" w:color="auto"/>
            </w:tcBorders>
            <w:shd w:val="clear" w:color="auto" w:fill="auto"/>
            <w:vAlign w:val="center"/>
            <w:hideMark/>
          </w:tcPr>
          <w:p w14:paraId="4F876EE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c>
          <w:tcPr>
            <w:tcW w:w="3760" w:type="dxa"/>
            <w:tcBorders>
              <w:top w:val="nil"/>
              <w:left w:val="nil"/>
              <w:bottom w:val="single" w:sz="4" w:space="0" w:color="auto"/>
              <w:right w:val="single" w:sz="4" w:space="0" w:color="auto"/>
            </w:tcBorders>
            <w:shd w:val="clear" w:color="auto" w:fill="auto"/>
            <w:vAlign w:val="center"/>
            <w:hideMark/>
          </w:tcPr>
          <w:p w14:paraId="19B62FA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nell’ambito della pianificazione per l’attuazione della propria strategia digitale, valutano gli strumenti di procurement disponibili</w:t>
            </w:r>
          </w:p>
        </w:tc>
        <w:tc>
          <w:tcPr>
            <w:tcW w:w="940" w:type="dxa"/>
            <w:tcBorders>
              <w:top w:val="nil"/>
              <w:left w:val="nil"/>
              <w:bottom w:val="single" w:sz="4" w:space="0" w:color="auto"/>
              <w:right w:val="single" w:sz="4" w:space="0" w:color="auto"/>
            </w:tcBorders>
            <w:shd w:val="clear" w:color="auto" w:fill="auto"/>
            <w:vAlign w:val="center"/>
            <w:hideMark/>
          </w:tcPr>
          <w:p w14:paraId="7D4E885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dicembre 2020 </w:t>
            </w:r>
          </w:p>
        </w:tc>
      </w:tr>
      <w:tr w:rsidR="00390427" w:rsidRPr="00390427" w14:paraId="68D4A534"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D43384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CAP1.PA.LA174</w:t>
            </w:r>
          </w:p>
        </w:tc>
        <w:tc>
          <w:tcPr>
            <w:tcW w:w="3760" w:type="dxa"/>
            <w:tcBorders>
              <w:top w:val="nil"/>
              <w:left w:val="nil"/>
              <w:bottom w:val="single" w:sz="4" w:space="0" w:color="auto"/>
              <w:right w:val="single" w:sz="4" w:space="0" w:color="auto"/>
            </w:tcBorders>
            <w:shd w:val="clear" w:color="auto" w:fill="auto"/>
            <w:vAlign w:val="center"/>
            <w:hideMark/>
          </w:tcPr>
          <w:p w14:paraId="56D38B2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800" w:type="dxa"/>
            <w:tcBorders>
              <w:top w:val="nil"/>
              <w:left w:val="nil"/>
              <w:bottom w:val="single" w:sz="4" w:space="0" w:color="auto"/>
              <w:right w:val="single" w:sz="4" w:space="0" w:color="auto"/>
            </w:tcBorders>
            <w:shd w:val="clear" w:color="auto" w:fill="auto"/>
            <w:vAlign w:val="center"/>
            <w:hideMark/>
          </w:tcPr>
          <w:p w14:paraId="0C8F602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73692025"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in base alle proprie esigenze, partecipano alle iniziative di formazione per RTD e loro uffici proposte da AGID</w:t>
            </w:r>
          </w:p>
        </w:tc>
        <w:tc>
          <w:tcPr>
            <w:tcW w:w="1120" w:type="dxa"/>
            <w:tcBorders>
              <w:top w:val="nil"/>
              <w:left w:val="nil"/>
              <w:bottom w:val="single" w:sz="4" w:space="0" w:color="auto"/>
              <w:right w:val="single" w:sz="4" w:space="0" w:color="auto"/>
            </w:tcBorders>
            <w:shd w:val="clear" w:color="auto" w:fill="auto"/>
            <w:vAlign w:val="center"/>
            <w:hideMark/>
          </w:tcPr>
          <w:p w14:paraId="2303131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c>
          <w:tcPr>
            <w:tcW w:w="3760" w:type="dxa"/>
            <w:tcBorders>
              <w:top w:val="nil"/>
              <w:left w:val="nil"/>
              <w:bottom w:val="single" w:sz="4" w:space="0" w:color="auto"/>
              <w:right w:val="single" w:sz="4" w:space="0" w:color="auto"/>
            </w:tcBorders>
            <w:shd w:val="clear" w:color="auto" w:fill="auto"/>
            <w:vAlign w:val="center"/>
            <w:hideMark/>
          </w:tcPr>
          <w:p w14:paraId="47FF551B"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in base alle proprie esigenze, partecipano alle iniziative di formazione per RTD e loro uffici proposte da AGID</w:t>
            </w:r>
          </w:p>
        </w:tc>
        <w:tc>
          <w:tcPr>
            <w:tcW w:w="940" w:type="dxa"/>
            <w:tcBorders>
              <w:top w:val="nil"/>
              <w:left w:val="nil"/>
              <w:bottom w:val="single" w:sz="4" w:space="0" w:color="auto"/>
              <w:right w:val="single" w:sz="4" w:space="0" w:color="auto"/>
            </w:tcBorders>
            <w:shd w:val="clear" w:color="auto" w:fill="auto"/>
            <w:vAlign w:val="center"/>
            <w:hideMark/>
          </w:tcPr>
          <w:p w14:paraId="2970D62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2022  </w:t>
            </w:r>
          </w:p>
        </w:tc>
      </w:tr>
      <w:tr w:rsidR="00390427" w:rsidRPr="00390427" w14:paraId="67BFE8E0"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40D2B294"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CAP1.PA.LA175</w:t>
            </w:r>
          </w:p>
        </w:tc>
        <w:tc>
          <w:tcPr>
            <w:tcW w:w="3760" w:type="dxa"/>
            <w:tcBorders>
              <w:top w:val="nil"/>
              <w:left w:val="nil"/>
              <w:bottom w:val="single" w:sz="4" w:space="0" w:color="auto"/>
              <w:right w:val="single" w:sz="4" w:space="0" w:color="auto"/>
            </w:tcBorders>
            <w:shd w:val="clear" w:color="auto" w:fill="auto"/>
            <w:vAlign w:val="center"/>
            <w:hideMark/>
          </w:tcPr>
          <w:p w14:paraId="6E19A6D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w:t>
            </w:r>
          </w:p>
        </w:tc>
        <w:tc>
          <w:tcPr>
            <w:tcW w:w="800" w:type="dxa"/>
            <w:tcBorders>
              <w:top w:val="nil"/>
              <w:left w:val="nil"/>
              <w:bottom w:val="single" w:sz="4" w:space="0" w:color="auto"/>
              <w:right w:val="single" w:sz="4" w:space="0" w:color="auto"/>
            </w:tcBorders>
            <w:shd w:val="clear" w:color="auto" w:fill="auto"/>
            <w:vAlign w:val="center"/>
            <w:hideMark/>
          </w:tcPr>
          <w:p w14:paraId="69216B9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p>
        </w:tc>
        <w:tc>
          <w:tcPr>
            <w:tcW w:w="3760" w:type="dxa"/>
            <w:tcBorders>
              <w:top w:val="nil"/>
              <w:left w:val="nil"/>
              <w:bottom w:val="single" w:sz="4" w:space="0" w:color="auto"/>
              <w:right w:val="single" w:sz="4" w:space="0" w:color="auto"/>
            </w:tcBorders>
            <w:shd w:val="clear" w:color="auto" w:fill="auto"/>
            <w:vAlign w:val="center"/>
            <w:hideMark/>
          </w:tcPr>
          <w:p w14:paraId="4229DE7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in base alle proprie esigenze, partecipano alle iniziative di formazione per RTD e loro uffici proposte da AGID e contribuiscono alla definizione di moduli formativi avanzati da mettere a disposizione di tutti i dipendenti della PA</w:t>
            </w:r>
          </w:p>
        </w:tc>
        <w:tc>
          <w:tcPr>
            <w:tcW w:w="1120" w:type="dxa"/>
            <w:tcBorders>
              <w:top w:val="nil"/>
              <w:left w:val="nil"/>
              <w:bottom w:val="single" w:sz="4" w:space="0" w:color="auto"/>
              <w:right w:val="single" w:sz="4" w:space="0" w:color="auto"/>
            </w:tcBorders>
            <w:shd w:val="clear" w:color="auto" w:fill="auto"/>
            <w:vAlign w:val="center"/>
            <w:hideMark/>
          </w:tcPr>
          <w:p w14:paraId="5B486E2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2023  </w:t>
            </w:r>
          </w:p>
        </w:tc>
        <w:tc>
          <w:tcPr>
            <w:tcW w:w="3760" w:type="dxa"/>
            <w:tcBorders>
              <w:top w:val="nil"/>
              <w:left w:val="nil"/>
              <w:bottom w:val="single" w:sz="4" w:space="0" w:color="auto"/>
              <w:right w:val="single" w:sz="4" w:space="0" w:color="auto"/>
            </w:tcBorders>
            <w:shd w:val="clear" w:color="auto" w:fill="auto"/>
            <w:vAlign w:val="center"/>
            <w:hideMark/>
          </w:tcPr>
          <w:p w14:paraId="04B759E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in base alle proprie esigenze, partecipano alle iniziative di formazione per RTD e loro uffici proposte da AGID e contribuiscono alla definizione di moduli formativi avanzati da mettere a disposizione di tutti i dipendenti della PA</w:t>
            </w:r>
          </w:p>
        </w:tc>
        <w:tc>
          <w:tcPr>
            <w:tcW w:w="940" w:type="dxa"/>
            <w:tcBorders>
              <w:top w:val="nil"/>
              <w:left w:val="nil"/>
              <w:bottom w:val="single" w:sz="4" w:space="0" w:color="auto"/>
              <w:right w:val="single" w:sz="4" w:space="0" w:color="auto"/>
            </w:tcBorders>
            <w:shd w:val="clear" w:color="auto" w:fill="auto"/>
            <w:vAlign w:val="center"/>
            <w:hideMark/>
          </w:tcPr>
          <w:p w14:paraId="0900336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gennaio 2023  </w:t>
            </w:r>
          </w:p>
        </w:tc>
      </w:tr>
      <w:tr w:rsidR="00390427" w:rsidRPr="00390427" w14:paraId="65AFD9F0"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4855D50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lastRenderedPageBreak/>
              <w:t xml:space="preserve">OB.1.1 </w:t>
            </w:r>
            <w:r w:rsidRPr="00390427">
              <w:rPr>
                <w:rFonts w:ascii="Calibri" w:eastAsia="Times New Roman" w:hAnsi="Calibri" w:cs="Calibri"/>
                <w:color w:val="203764"/>
                <w:sz w:val="14"/>
                <w:szCs w:val="14"/>
                <w:lang w:eastAsia="it-IT"/>
              </w:rPr>
              <w:br/>
              <w:t>CAP1.PA.LA181</w:t>
            </w:r>
          </w:p>
        </w:tc>
        <w:tc>
          <w:tcPr>
            <w:tcW w:w="3760" w:type="dxa"/>
            <w:tcBorders>
              <w:top w:val="nil"/>
              <w:left w:val="nil"/>
              <w:bottom w:val="single" w:sz="4" w:space="0" w:color="auto"/>
              <w:right w:val="single" w:sz="4" w:space="0" w:color="auto"/>
            </w:tcBorders>
            <w:shd w:val="clear" w:color="auto" w:fill="auto"/>
            <w:vAlign w:val="center"/>
            <w:hideMark/>
          </w:tcPr>
          <w:p w14:paraId="1FD97C54"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contribuiscono alla definizione del Piano strategico nazionale per le competenze digitali, che include gli assi di intervento relativi alla PA e alle competenze digitali di base per i cittadini</w:t>
            </w:r>
          </w:p>
        </w:tc>
        <w:tc>
          <w:tcPr>
            <w:tcW w:w="800" w:type="dxa"/>
            <w:tcBorders>
              <w:top w:val="nil"/>
              <w:left w:val="nil"/>
              <w:bottom w:val="single" w:sz="4" w:space="0" w:color="auto"/>
              <w:right w:val="single" w:sz="4" w:space="0" w:color="auto"/>
            </w:tcBorders>
            <w:shd w:val="clear" w:color="auto" w:fill="auto"/>
            <w:vAlign w:val="center"/>
            <w:hideMark/>
          </w:tcPr>
          <w:p w14:paraId="75836ABE"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settembre 2020 </w:t>
            </w:r>
          </w:p>
        </w:tc>
        <w:tc>
          <w:tcPr>
            <w:tcW w:w="3760" w:type="dxa"/>
            <w:tcBorders>
              <w:top w:val="nil"/>
              <w:left w:val="nil"/>
              <w:bottom w:val="single" w:sz="4" w:space="0" w:color="auto"/>
              <w:right w:val="single" w:sz="4" w:space="0" w:color="auto"/>
            </w:tcBorders>
            <w:shd w:val="clear" w:color="auto" w:fill="auto"/>
            <w:vAlign w:val="center"/>
            <w:hideMark/>
          </w:tcPr>
          <w:p w14:paraId="4DA2FF1F"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contribuiscono alla definizione del Piano strategico nazionale per le competenze digitali, che include gli assi di intervento relativi alla PA e alle competenze digitali di base per i cittadini</w:t>
            </w:r>
          </w:p>
        </w:tc>
        <w:tc>
          <w:tcPr>
            <w:tcW w:w="1120" w:type="dxa"/>
            <w:tcBorders>
              <w:top w:val="nil"/>
              <w:left w:val="nil"/>
              <w:bottom w:val="single" w:sz="4" w:space="0" w:color="auto"/>
              <w:right w:val="single" w:sz="4" w:space="0" w:color="auto"/>
            </w:tcBorders>
            <w:shd w:val="clear" w:color="auto" w:fill="auto"/>
            <w:vAlign w:val="center"/>
            <w:hideMark/>
          </w:tcPr>
          <w:p w14:paraId="01222B1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settembre 2020 </w:t>
            </w:r>
          </w:p>
        </w:tc>
        <w:tc>
          <w:tcPr>
            <w:tcW w:w="3760" w:type="dxa"/>
            <w:tcBorders>
              <w:top w:val="nil"/>
              <w:left w:val="nil"/>
              <w:bottom w:val="single" w:sz="4" w:space="0" w:color="auto"/>
              <w:right w:val="single" w:sz="4" w:space="0" w:color="auto"/>
            </w:tcBorders>
            <w:shd w:val="clear" w:color="auto" w:fill="auto"/>
            <w:vAlign w:val="center"/>
            <w:hideMark/>
          </w:tcPr>
          <w:p w14:paraId="16DC019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contribuiscono alla definizione del Piano strategico nazionale per le competenze digitali, che include gli assi di intervento relativi alla PA e alle competenze digitali di base per i cittadini</w:t>
            </w:r>
          </w:p>
        </w:tc>
        <w:tc>
          <w:tcPr>
            <w:tcW w:w="940" w:type="dxa"/>
            <w:tcBorders>
              <w:top w:val="nil"/>
              <w:left w:val="nil"/>
              <w:bottom w:val="single" w:sz="4" w:space="0" w:color="auto"/>
              <w:right w:val="single" w:sz="4" w:space="0" w:color="auto"/>
            </w:tcBorders>
            <w:shd w:val="clear" w:color="auto" w:fill="auto"/>
            <w:vAlign w:val="center"/>
            <w:hideMark/>
          </w:tcPr>
          <w:p w14:paraId="1136282C"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 </w:t>
            </w:r>
            <w:r w:rsidRPr="00390427">
              <w:rPr>
                <w:rFonts w:ascii="Calibri" w:eastAsia="Times New Roman" w:hAnsi="Calibri" w:cs="Calibri"/>
                <w:color w:val="000000"/>
                <w:sz w:val="14"/>
                <w:szCs w:val="14"/>
                <w:lang w:eastAsia="it-IT"/>
              </w:rPr>
              <w:br/>
              <w:t xml:space="preserve">Entro settembre 2020 </w:t>
            </w:r>
          </w:p>
        </w:tc>
      </w:tr>
      <w:tr w:rsidR="00390427" w:rsidRPr="00390427" w14:paraId="02FE574E"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2648CC5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CAP1.PA.LA183</w:t>
            </w:r>
          </w:p>
        </w:tc>
        <w:tc>
          <w:tcPr>
            <w:tcW w:w="3760" w:type="dxa"/>
            <w:tcBorders>
              <w:top w:val="nil"/>
              <w:left w:val="nil"/>
              <w:bottom w:val="single" w:sz="4" w:space="0" w:color="auto"/>
              <w:right w:val="single" w:sz="4" w:space="0" w:color="auto"/>
            </w:tcBorders>
            <w:shd w:val="clear" w:color="auto" w:fill="auto"/>
            <w:vAlign w:val="center"/>
            <w:hideMark/>
          </w:tcPr>
          <w:p w14:paraId="51D47A1A"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aggiornano i piani di azione secondo quanto previsto nel Piano strategico nazionale per le competenze digitali</w:t>
            </w:r>
          </w:p>
        </w:tc>
        <w:tc>
          <w:tcPr>
            <w:tcW w:w="800" w:type="dxa"/>
            <w:tcBorders>
              <w:top w:val="nil"/>
              <w:left w:val="nil"/>
              <w:bottom w:val="single" w:sz="4" w:space="0" w:color="auto"/>
              <w:right w:val="single" w:sz="4" w:space="0" w:color="auto"/>
            </w:tcBorders>
            <w:shd w:val="clear" w:color="auto" w:fill="auto"/>
            <w:vAlign w:val="center"/>
            <w:hideMark/>
          </w:tcPr>
          <w:p w14:paraId="5F5D1661"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febbraio 2021  </w:t>
            </w:r>
          </w:p>
        </w:tc>
        <w:tc>
          <w:tcPr>
            <w:tcW w:w="3760" w:type="dxa"/>
            <w:tcBorders>
              <w:top w:val="nil"/>
              <w:left w:val="nil"/>
              <w:bottom w:val="single" w:sz="4" w:space="0" w:color="auto"/>
              <w:right w:val="single" w:sz="4" w:space="0" w:color="auto"/>
            </w:tcBorders>
            <w:shd w:val="clear" w:color="auto" w:fill="auto"/>
            <w:vAlign w:val="center"/>
            <w:hideMark/>
          </w:tcPr>
          <w:p w14:paraId="11306667"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aggiornano i piani di azione secondo quanto previsto nel Piano strategico nazionale per le competenze digitali</w:t>
            </w:r>
          </w:p>
        </w:tc>
        <w:tc>
          <w:tcPr>
            <w:tcW w:w="1120" w:type="dxa"/>
            <w:tcBorders>
              <w:top w:val="nil"/>
              <w:left w:val="nil"/>
              <w:bottom w:val="single" w:sz="4" w:space="0" w:color="auto"/>
              <w:right w:val="single" w:sz="4" w:space="0" w:color="auto"/>
            </w:tcBorders>
            <w:shd w:val="clear" w:color="auto" w:fill="auto"/>
            <w:vAlign w:val="center"/>
            <w:hideMark/>
          </w:tcPr>
          <w:p w14:paraId="08D524C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febbraio 2021  </w:t>
            </w:r>
          </w:p>
        </w:tc>
        <w:tc>
          <w:tcPr>
            <w:tcW w:w="3760" w:type="dxa"/>
            <w:tcBorders>
              <w:top w:val="nil"/>
              <w:left w:val="nil"/>
              <w:bottom w:val="single" w:sz="4" w:space="0" w:color="auto"/>
              <w:right w:val="single" w:sz="4" w:space="0" w:color="auto"/>
            </w:tcBorders>
            <w:shd w:val="clear" w:color="auto" w:fill="auto"/>
            <w:vAlign w:val="center"/>
            <w:hideMark/>
          </w:tcPr>
          <w:p w14:paraId="73EFE7D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aggiornano i piani di azione secondo quanto previsto nel Piano strategico nazionale per le competenze digitali</w:t>
            </w:r>
          </w:p>
        </w:tc>
        <w:tc>
          <w:tcPr>
            <w:tcW w:w="940" w:type="dxa"/>
            <w:tcBorders>
              <w:top w:val="nil"/>
              <w:left w:val="nil"/>
              <w:bottom w:val="single" w:sz="4" w:space="0" w:color="auto"/>
              <w:right w:val="single" w:sz="4" w:space="0" w:color="auto"/>
            </w:tcBorders>
            <w:shd w:val="clear" w:color="auto" w:fill="auto"/>
            <w:vAlign w:val="center"/>
            <w:hideMark/>
          </w:tcPr>
          <w:p w14:paraId="559CFF6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febbraio 2021  </w:t>
            </w:r>
          </w:p>
        </w:tc>
      </w:tr>
      <w:tr w:rsidR="00390427" w:rsidRPr="00390427" w14:paraId="29E0C021"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267F2BF"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CAP1.PA.LA184</w:t>
            </w:r>
          </w:p>
        </w:tc>
        <w:tc>
          <w:tcPr>
            <w:tcW w:w="3760" w:type="dxa"/>
            <w:tcBorders>
              <w:top w:val="nil"/>
              <w:left w:val="nil"/>
              <w:bottom w:val="single" w:sz="4" w:space="0" w:color="auto"/>
              <w:right w:val="single" w:sz="4" w:space="0" w:color="auto"/>
            </w:tcBorders>
            <w:shd w:val="clear" w:color="auto" w:fill="auto"/>
            <w:vAlign w:val="center"/>
            <w:hideMark/>
          </w:tcPr>
          <w:p w14:paraId="18D87810"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aggiornano i piani di azione secondo quanto previsto nel Piano strategico nazionale per le competenze digitali</w:t>
            </w:r>
          </w:p>
        </w:tc>
        <w:tc>
          <w:tcPr>
            <w:tcW w:w="800" w:type="dxa"/>
            <w:tcBorders>
              <w:top w:val="nil"/>
              <w:left w:val="nil"/>
              <w:bottom w:val="single" w:sz="4" w:space="0" w:color="auto"/>
              <w:right w:val="single" w:sz="4" w:space="0" w:color="auto"/>
            </w:tcBorders>
            <w:shd w:val="clear" w:color="auto" w:fill="auto"/>
            <w:vAlign w:val="center"/>
            <w:hideMark/>
          </w:tcPr>
          <w:p w14:paraId="4382ACCB"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febbraio 2022  </w:t>
            </w:r>
          </w:p>
        </w:tc>
        <w:tc>
          <w:tcPr>
            <w:tcW w:w="3760" w:type="dxa"/>
            <w:tcBorders>
              <w:top w:val="nil"/>
              <w:left w:val="nil"/>
              <w:bottom w:val="single" w:sz="4" w:space="0" w:color="auto"/>
              <w:right w:val="single" w:sz="4" w:space="0" w:color="auto"/>
            </w:tcBorders>
            <w:shd w:val="clear" w:color="auto" w:fill="auto"/>
            <w:vAlign w:val="center"/>
            <w:hideMark/>
          </w:tcPr>
          <w:p w14:paraId="072BBD51"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aggiornano i piani di azione secondo quanto previsto nel Piano strategico nazionale per le competenze digitali</w:t>
            </w:r>
          </w:p>
        </w:tc>
        <w:tc>
          <w:tcPr>
            <w:tcW w:w="1120" w:type="dxa"/>
            <w:tcBorders>
              <w:top w:val="nil"/>
              <w:left w:val="nil"/>
              <w:bottom w:val="single" w:sz="4" w:space="0" w:color="auto"/>
              <w:right w:val="single" w:sz="4" w:space="0" w:color="auto"/>
            </w:tcBorders>
            <w:shd w:val="clear" w:color="auto" w:fill="auto"/>
            <w:vAlign w:val="center"/>
            <w:hideMark/>
          </w:tcPr>
          <w:p w14:paraId="340A908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febbraio 2022  </w:t>
            </w:r>
          </w:p>
        </w:tc>
        <w:tc>
          <w:tcPr>
            <w:tcW w:w="3760" w:type="dxa"/>
            <w:tcBorders>
              <w:top w:val="nil"/>
              <w:left w:val="nil"/>
              <w:bottom w:val="single" w:sz="4" w:space="0" w:color="auto"/>
              <w:right w:val="single" w:sz="4" w:space="0" w:color="auto"/>
            </w:tcBorders>
            <w:shd w:val="clear" w:color="auto" w:fill="auto"/>
            <w:vAlign w:val="center"/>
            <w:hideMark/>
          </w:tcPr>
          <w:p w14:paraId="1457B5E2"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aggiornano i piani di azione secondo quanto previsto nel Piano strategico nazionale per le competenze digitali</w:t>
            </w:r>
          </w:p>
        </w:tc>
        <w:tc>
          <w:tcPr>
            <w:tcW w:w="940" w:type="dxa"/>
            <w:tcBorders>
              <w:top w:val="nil"/>
              <w:left w:val="nil"/>
              <w:bottom w:val="single" w:sz="4" w:space="0" w:color="auto"/>
              <w:right w:val="single" w:sz="4" w:space="0" w:color="auto"/>
            </w:tcBorders>
            <w:shd w:val="clear" w:color="auto" w:fill="auto"/>
            <w:vAlign w:val="center"/>
            <w:hideMark/>
          </w:tcPr>
          <w:p w14:paraId="03E957FA"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febbraio 2022  </w:t>
            </w:r>
          </w:p>
        </w:tc>
      </w:tr>
      <w:tr w:rsidR="00390427" w:rsidRPr="00390427" w14:paraId="2541092C" w14:textId="77777777" w:rsidTr="00390427">
        <w:trPr>
          <w:trHeight w:val="70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2E376F35"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 xml:space="preserve">OB.1.1 </w:t>
            </w:r>
            <w:r w:rsidRPr="00390427">
              <w:rPr>
                <w:rFonts w:ascii="Calibri" w:eastAsia="Times New Roman" w:hAnsi="Calibri" w:cs="Calibri"/>
                <w:color w:val="203764"/>
                <w:sz w:val="14"/>
                <w:szCs w:val="14"/>
                <w:lang w:eastAsia="it-IT"/>
              </w:rPr>
              <w:br/>
              <w:t>CAP1.PA.LA190</w:t>
            </w:r>
          </w:p>
        </w:tc>
        <w:tc>
          <w:tcPr>
            <w:tcW w:w="3760" w:type="dxa"/>
            <w:tcBorders>
              <w:top w:val="nil"/>
              <w:left w:val="nil"/>
              <w:bottom w:val="single" w:sz="4" w:space="0" w:color="auto"/>
              <w:right w:val="single" w:sz="4" w:space="0" w:color="auto"/>
            </w:tcBorders>
            <w:shd w:val="clear" w:color="auto" w:fill="auto"/>
            <w:vAlign w:val="center"/>
            <w:hideMark/>
          </w:tcPr>
          <w:p w14:paraId="1FB2071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partecipano alle attività di formazione secondo le indicazioni fornite da AGID</w:t>
            </w:r>
          </w:p>
        </w:tc>
        <w:tc>
          <w:tcPr>
            <w:tcW w:w="800" w:type="dxa"/>
            <w:tcBorders>
              <w:top w:val="nil"/>
              <w:left w:val="nil"/>
              <w:bottom w:val="single" w:sz="4" w:space="0" w:color="auto"/>
              <w:right w:val="single" w:sz="4" w:space="0" w:color="auto"/>
            </w:tcBorders>
            <w:shd w:val="clear" w:color="auto" w:fill="auto"/>
            <w:vAlign w:val="center"/>
            <w:hideMark/>
          </w:tcPr>
          <w:p w14:paraId="0BC6D819"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marzo 2022  </w:t>
            </w:r>
          </w:p>
        </w:tc>
        <w:tc>
          <w:tcPr>
            <w:tcW w:w="3760" w:type="dxa"/>
            <w:tcBorders>
              <w:top w:val="nil"/>
              <w:left w:val="nil"/>
              <w:bottom w:val="single" w:sz="4" w:space="0" w:color="auto"/>
              <w:right w:val="single" w:sz="4" w:space="0" w:color="auto"/>
            </w:tcBorders>
            <w:shd w:val="clear" w:color="auto" w:fill="auto"/>
            <w:vAlign w:val="center"/>
            <w:hideMark/>
          </w:tcPr>
          <w:p w14:paraId="665CE948"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partecipano alle attività di formazione secondo le indicazioni fornite da AGID</w:t>
            </w:r>
          </w:p>
        </w:tc>
        <w:tc>
          <w:tcPr>
            <w:tcW w:w="1120" w:type="dxa"/>
            <w:tcBorders>
              <w:top w:val="nil"/>
              <w:left w:val="nil"/>
              <w:bottom w:val="single" w:sz="4" w:space="0" w:color="auto"/>
              <w:right w:val="single" w:sz="4" w:space="0" w:color="auto"/>
            </w:tcBorders>
            <w:shd w:val="clear" w:color="auto" w:fill="auto"/>
            <w:vAlign w:val="center"/>
            <w:hideMark/>
          </w:tcPr>
          <w:p w14:paraId="156E63D3"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marzo 2022  </w:t>
            </w:r>
          </w:p>
        </w:tc>
        <w:tc>
          <w:tcPr>
            <w:tcW w:w="3760" w:type="dxa"/>
            <w:tcBorders>
              <w:top w:val="nil"/>
              <w:left w:val="nil"/>
              <w:bottom w:val="single" w:sz="4" w:space="0" w:color="auto"/>
              <w:right w:val="single" w:sz="4" w:space="0" w:color="auto"/>
            </w:tcBorders>
            <w:shd w:val="clear" w:color="auto" w:fill="auto"/>
            <w:vAlign w:val="center"/>
            <w:hideMark/>
          </w:tcPr>
          <w:p w14:paraId="46F84203" w14:textId="77777777" w:rsidR="00390427" w:rsidRPr="00390427" w:rsidRDefault="00390427" w:rsidP="00390427">
            <w:pPr>
              <w:suppressAutoHyphens w:val="0"/>
              <w:spacing w:before="0" w:after="0" w:line="240" w:lineRule="auto"/>
              <w:ind w:left="0" w:right="0"/>
              <w:jc w:val="left"/>
              <w:rPr>
                <w:rFonts w:ascii="Calibri" w:eastAsia="Times New Roman" w:hAnsi="Calibri" w:cs="Calibri"/>
                <w:color w:val="203764"/>
                <w:sz w:val="14"/>
                <w:szCs w:val="14"/>
                <w:lang w:eastAsia="it-IT"/>
              </w:rPr>
            </w:pPr>
            <w:r w:rsidRPr="00390427">
              <w:rPr>
                <w:rFonts w:ascii="Calibri" w:eastAsia="Times New Roman" w:hAnsi="Calibri" w:cs="Calibri"/>
                <w:color w:val="203764"/>
                <w:sz w:val="14"/>
                <w:szCs w:val="14"/>
                <w:lang w:eastAsia="it-IT"/>
              </w:rPr>
              <w:t>Le PA partecipano alle attività di formazione secondo le indicazioni fornite da AGID</w:t>
            </w:r>
          </w:p>
        </w:tc>
        <w:tc>
          <w:tcPr>
            <w:tcW w:w="940" w:type="dxa"/>
            <w:tcBorders>
              <w:top w:val="nil"/>
              <w:left w:val="nil"/>
              <w:bottom w:val="single" w:sz="4" w:space="0" w:color="auto"/>
              <w:right w:val="single" w:sz="4" w:space="0" w:color="auto"/>
            </w:tcBorders>
            <w:shd w:val="clear" w:color="auto" w:fill="auto"/>
            <w:vAlign w:val="center"/>
            <w:hideMark/>
          </w:tcPr>
          <w:p w14:paraId="3D0934F2" w14:textId="77777777" w:rsidR="00390427" w:rsidRPr="00390427" w:rsidRDefault="00390427" w:rsidP="00390427">
            <w:pPr>
              <w:suppressAutoHyphens w:val="0"/>
              <w:spacing w:before="0" w:after="0" w:line="240" w:lineRule="auto"/>
              <w:ind w:left="0" w:right="0"/>
              <w:jc w:val="center"/>
              <w:rPr>
                <w:rFonts w:ascii="Calibri" w:eastAsia="Times New Roman" w:hAnsi="Calibri" w:cs="Calibri"/>
                <w:color w:val="000000"/>
                <w:sz w:val="14"/>
                <w:szCs w:val="14"/>
                <w:lang w:eastAsia="it-IT"/>
              </w:rPr>
            </w:pPr>
            <w:r w:rsidRPr="00390427">
              <w:rPr>
                <w:rFonts w:ascii="Calibri" w:eastAsia="Times New Roman" w:hAnsi="Calibri" w:cs="Calibri"/>
                <w:color w:val="000000"/>
                <w:sz w:val="14"/>
                <w:szCs w:val="14"/>
                <w:lang w:eastAsia="it-IT"/>
              </w:rPr>
              <w:t xml:space="preserve">Da marzo 2022  </w:t>
            </w:r>
          </w:p>
        </w:tc>
      </w:tr>
    </w:tbl>
    <w:p w14:paraId="6ADA79C5" w14:textId="1EB2177B" w:rsidR="008D0DCB" w:rsidRDefault="008D0DCB">
      <w:pPr>
        <w:spacing w:before="0" w:after="0" w:line="240" w:lineRule="auto"/>
        <w:ind w:left="0" w:right="0"/>
        <w:jc w:val="left"/>
      </w:pPr>
      <w:r>
        <w:br w:type="page"/>
      </w:r>
    </w:p>
    <w:p w14:paraId="1F97F8F2" w14:textId="34C5542C" w:rsidR="0069061F" w:rsidRDefault="008D0DCB" w:rsidP="008D0DCB">
      <w:pPr>
        <w:pStyle w:val="Titolo3"/>
      </w:pPr>
      <w:bookmarkStart w:id="143" w:name="_Toc157008374"/>
      <w:r>
        <w:lastRenderedPageBreak/>
        <w:t xml:space="preserve">Avanzamento linee di azione per </w:t>
      </w:r>
      <w:r w:rsidRPr="00390427">
        <w:rPr>
          <w:highlight w:val="yellow"/>
        </w:rPr>
        <w:t xml:space="preserve">Comune di </w:t>
      </w:r>
      <w:r w:rsidR="00101354" w:rsidRPr="00390427">
        <w:rPr>
          <w:highlight w:val="yellow"/>
        </w:rPr>
        <w:t>XXXXXXXXXXXX</w:t>
      </w:r>
      <w:bookmarkEnd w:id="143"/>
    </w:p>
    <w:p w14:paraId="27F78705" w14:textId="330A4A94" w:rsidR="008D0DCB" w:rsidRPr="008D0DCB" w:rsidRDefault="00A51B5D" w:rsidP="008D0DCB">
      <w:r>
        <w:t>Inserire Prospetto verde (</w:t>
      </w:r>
      <w:r w:rsidR="003D671E">
        <w:t xml:space="preserve">Celle </w:t>
      </w:r>
      <w:r>
        <w:t>H3:P84</w:t>
      </w:r>
      <w:r w:rsidR="003D671E">
        <w:t xml:space="preserve"> da foglio excel:</w:t>
      </w:r>
      <w:r w:rsidR="003D671E" w:rsidRPr="00861ADA">
        <w:rPr>
          <w:b/>
          <w:bCs/>
        </w:rPr>
        <w:t xml:space="preserve"> </w:t>
      </w:r>
      <w:hyperlink r:id="rId48" w:history="1">
        <w:r w:rsidR="003D671E" w:rsidRPr="00861ADA">
          <w:rPr>
            <w:rStyle w:val="Collegamentoipertestuale"/>
            <w:b/>
            <w:bCs/>
          </w:rPr>
          <w:t>Prospetto Linee di Azione per M1 ridotte</w:t>
        </w:r>
      </w:hyperlink>
      <w:r w:rsidR="00861ADA">
        <w:t xml:space="preserve"> cartella: </w:t>
      </w:r>
      <w:r w:rsidR="00861ADA" w:rsidRPr="00861ADA">
        <w:rPr>
          <w:b/>
          <w:bCs/>
        </w:rPr>
        <w:t>Tabell</w:t>
      </w:r>
      <w:r w:rsidR="00861ADA">
        <w:rPr>
          <w:b/>
          <w:bCs/>
        </w:rPr>
        <w:t>e</w:t>
      </w:r>
      <w:r w:rsidR="00861ADA" w:rsidRPr="00861ADA">
        <w:rPr>
          <w:b/>
          <w:bCs/>
        </w:rPr>
        <w:t xml:space="preserve"> da inserire Nel Piano</w:t>
      </w:r>
      <w:r w:rsidR="00861ADA">
        <w:t xml:space="preserve">) dopo aver compilato i campi in giallo della cartella: </w:t>
      </w:r>
      <w:r w:rsidR="00861ADA" w:rsidRPr="00861ADA">
        <w:rPr>
          <w:b/>
          <w:bCs/>
        </w:rPr>
        <w:t>Stato LdA</w:t>
      </w:r>
    </w:p>
    <w:sectPr w:rsidR="008D0DCB" w:rsidRPr="008D0DCB" w:rsidSect="00DD61E3">
      <w:headerReference w:type="default" r:id="rId49"/>
      <w:footerReference w:type="default" r:id="rId50"/>
      <w:pgSz w:w="16838" w:h="11906" w:orient="landscape"/>
      <w:pgMar w:top="720" w:right="720" w:bottom="720" w:left="720" w:header="720" w:footer="53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20AA1" w14:textId="77777777" w:rsidR="00651120" w:rsidRDefault="00651120">
      <w:pPr>
        <w:spacing w:before="0" w:after="0" w:line="240" w:lineRule="auto"/>
      </w:pPr>
      <w:r>
        <w:separator/>
      </w:r>
    </w:p>
  </w:endnote>
  <w:endnote w:type="continuationSeparator" w:id="0">
    <w:p w14:paraId="4DBC1A73" w14:textId="77777777" w:rsidR="00651120" w:rsidRDefault="006511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055E2" w14:textId="77777777" w:rsidR="00A80348" w:rsidRDefault="00A8034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7BDED" w14:textId="5762E035" w:rsidR="00204E95" w:rsidRPr="007457F1" w:rsidRDefault="00204E95">
    <w:pPr>
      <w:pStyle w:val="Pidipagina"/>
      <w:rPr>
        <w:color w:val="3B3838" w:themeColor="background2" w:themeShade="40"/>
      </w:rPr>
    </w:pPr>
    <w:r w:rsidRPr="007457F1">
      <w:rPr>
        <w:color w:val="3B3838" w:themeColor="background2" w:themeShade="40"/>
      </w:rPr>
      <w:t>Piano Strategico 20</w:t>
    </w:r>
    <w:r w:rsidR="00A80348">
      <w:rPr>
        <w:color w:val="3B3838" w:themeColor="background2" w:themeShade="40"/>
      </w:rPr>
      <w:t>xx</w:t>
    </w:r>
    <w:r w:rsidRPr="007457F1">
      <w:rPr>
        <w:color w:val="3B3838" w:themeColor="background2" w:themeShade="40"/>
      </w:rPr>
      <w:t>-20</w:t>
    </w:r>
    <w:r w:rsidR="00A80348">
      <w:rPr>
        <w:color w:val="3B3838" w:themeColor="background2" w:themeShade="40"/>
      </w:rPr>
      <w:t>xx</w:t>
    </w:r>
    <w:r w:rsidRPr="007457F1">
      <w:rPr>
        <w:color w:val="3B3838" w:themeColor="background2" w:themeShade="40"/>
      </w:rPr>
      <w:tab/>
    </w:r>
    <w:r w:rsidRPr="007457F1">
      <w:rPr>
        <w:color w:val="3B3838" w:themeColor="background2" w:themeShade="40"/>
      </w:rPr>
      <w:tab/>
      <w:t xml:space="preserve">Pag:  </w:t>
    </w:r>
    <w:r w:rsidRPr="007457F1">
      <w:rPr>
        <w:color w:val="3B3838" w:themeColor="background2" w:themeShade="40"/>
      </w:rPr>
      <w:fldChar w:fldCharType="begin"/>
    </w:r>
    <w:r w:rsidRPr="007457F1">
      <w:rPr>
        <w:color w:val="3B3838" w:themeColor="background2" w:themeShade="40"/>
      </w:rPr>
      <w:instrText>PAGE   \* MERGEFORMAT</w:instrText>
    </w:r>
    <w:r w:rsidRPr="007457F1">
      <w:rPr>
        <w:color w:val="3B3838" w:themeColor="background2" w:themeShade="40"/>
      </w:rPr>
      <w:fldChar w:fldCharType="separate"/>
    </w:r>
    <w:r w:rsidR="00173CED">
      <w:rPr>
        <w:noProof/>
        <w:color w:val="3B3838" w:themeColor="background2" w:themeShade="40"/>
      </w:rPr>
      <w:t>40</w:t>
    </w:r>
    <w:r w:rsidRPr="007457F1">
      <w:rPr>
        <w:color w:val="3B3838" w:themeColor="background2" w:themeShade="40"/>
      </w:rPr>
      <w:fldChar w:fldCharType="end"/>
    </w:r>
    <w:r w:rsidRPr="007457F1">
      <w:rPr>
        <w:color w:val="3B3838" w:themeColor="background2" w:themeShade="40"/>
      </w:rPr>
      <w:t xml:space="preserve"> di  </w:t>
    </w:r>
    <w:r w:rsidRPr="007457F1">
      <w:rPr>
        <w:color w:val="3B3838" w:themeColor="background2" w:themeShade="40"/>
      </w:rPr>
      <w:fldChar w:fldCharType="begin"/>
    </w:r>
    <w:r w:rsidRPr="007457F1">
      <w:rPr>
        <w:color w:val="3B3838" w:themeColor="background2" w:themeShade="40"/>
      </w:rPr>
      <w:instrText xml:space="preserve"> NUMPAGES   \* MERGEFORMAT </w:instrText>
    </w:r>
    <w:r w:rsidRPr="007457F1">
      <w:rPr>
        <w:color w:val="3B3838" w:themeColor="background2" w:themeShade="40"/>
      </w:rPr>
      <w:fldChar w:fldCharType="separate"/>
    </w:r>
    <w:r w:rsidR="00173CED">
      <w:rPr>
        <w:noProof/>
        <w:color w:val="3B3838" w:themeColor="background2" w:themeShade="40"/>
      </w:rPr>
      <w:t>240</w:t>
    </w:r>
    <w:r w:rsidRPr="007457F1">
      <w:rPr>
        <w:color w:val="3B3838" w:themeColor="background2" w:themeShade="4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D7015" w14:textId="77777777" w:rsidR="00A80348" w:rsidRDefault="00A80348">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D6F6B" w14:textId="77777777" w:rsidR="00204E95" w:rsidRDefault="00204E95"/>
  <w:tbl>
    <w:tblPr>
      <w:tblStyle w:val="Grigliatabella"/>
      <w:tblW w:w="10060" w:type="dxa"/>
      <w:jc w:val="center"/>
      <w:tblLayout w:type="fixed"/>
      <w:tblLook w:val="04A0" w:firstRow="1" w:lastRow="0" w:firstColumn="1" w:lastColumn="0" w:noHBand="0" w:noVBand="1"/>
    </w:tblPr>
    <w:tblGrid>
      <w:gridCol w:w="3819"/>
      <w:gridCol w:w="3122"/>
      <w:gridCol w:w="3119"/>
    </w:tblGrid>
    <w:tr w:rsidR="00204E95" w14:paraId="17FCE584" w14:textId="77777777">
      <w:trPr>
        <w:jc w:val="center"/>
      </w:trPr>
      <w:tc>
        <w:tcPr>
          <w:tcW w:w="3819" w:type="dxa"/>
          <w:vAlign w:val="center"/>
        </w:tcPr>
        <w:p w14:paraId="2AB84E97" w14:textId="77777777" w:rsidR="00204E95" w:rsidRDefault="00204E95">
          <w:pPr>
            <w:pStyle w:val="Intestazione"/>
            <w:widowControl w:val="0"/>
            <w:spacing w:after="144"/>
            <w:jc w:val="center"/>
            <w:rPr>
              <w:lang w:eastAsia="it-IT"/>
            </w:rPr>
          </w:pPr>
          <w:r>
            <w:rPr>
              <w:rFonts w:eastAsia="Calibri"/>
              <w:lang w:eastAsia="it-IT"/>
            </w:rPr>
            <w:t>Piano dei Sistemi</w:t>
          </w:r>
        </w:p>
      </w:tc>
      <w:tc>
        <w:tcPr>
          <w:tcW w:w="3122" w:type="dxa"/>
          <w:vAlign w:val="center"/>
        </w:tcPr>
        <w:p w14:paraId="7BABADED" w14:textId="77777777" w:rsidR="00204E95" w:rsidRDefault="00204E95">
          <w:pPr>
            <w:pStyle w:val="Intestazione"/>
            <w:widowControl w:val="0"/>
            <w:spacing w:after="144"/>
            <w:jc w:val="center"/>
            <w:rPr>
              <w:rFonts w:ascii="Calibri" w:eastAsia="Calibri" w:hAnsi="Calibri"/>
            </w:rPr>
          </w:pPr>
          <w:r>
            <w:rPr>
              <w:rFonts w:eastAsia="Calibri"/>
            </w:rPr>
            <w:t>Rev. 2022 - 2024</w:t>
          </w:r>
        </w:p>
      </w:tc>
      <w:tc>
        <w:tcPr>
          <w:tcW w:w="3119" w:type="dxa"/>
          <w:vAlign w:val="center"/>
        </w:tcPr>
        <w:p w14:paraId="043C4A59" w14:textId="2D9CBE26" w:rsidR="00204E95" w:rsidRDefault="00204E95">
          <w:pPr>
            <w:pStyle w:val="Intestazione"/>
            <w:widowControl w:val="0"/>
            <w:spacing w:after="144"/>
            <w:jc w:val="center"/>
            <w:rPr>
              <w:rFonts w:ascii="Calibri" w:eastAsia="Calibri" w:hAnsi="Calibri"/>
            </w:rPr>
          </w:pPr>
          <w:r>
            <w:rPr>
              <w:rFonts w:eastAsia="Calibri"/>
            </w:rPr>
            <w:t xml:space="preserve">Pag.: </w:t>
          </w:r>
          <w:r>
            <w:rPr>
              <w:rFonts w:eastAsia="Calibri"/>
            </w:rPr>
            <w:fldChar w:fldCharType="begin"/>
          </w:r>
          <w:r>
            <w:rPr>
              <w:rFonts w:eastAsia="Calibri"/>
            </w:rPr>
            <w:instrText xml:space="preserve"> PAGE </w:instrText>
          </w:r>
          <w:r>
            <w:rPr>
              <w:rFonts w:eastAsia="Calibri"/>
            </w:rPr>
            <w:fldChar w:fldCharType="separate"/>
          </w:r>
          <w:r w:rsidR="00337938">
            <w:rPr>
              <w:rFonts w:eastAsia="Calibri"/>
              <w:noProof/>
            </w:rPr>
            <w:t>66</w:t>
          </w:r>
          <w:r>
            <w:rPr>
              <w:rFonts w:eastAsia="Calibri"/>
            </w:rPr>
            <w:fldChar w:fldCharType="end"/>
          </w:r>
          <w:r>
            <w:rPr>
              <w:rFonts w:eastAsia="Calibri"/>
            </w:rPr>
            <w:t xml:space="preserve">  di  </w:t>
          </w:r>
          <w:r>
            <w:rPr>
              <w:rFonts w:eastAsia="Calibri"/>
            </w:rPr>
            <w:fldChar w:fldCharType="begin"/>
          </w:r>
          <w:r>
            <w:rPr>
              <w:rFonts w:eastAsia="Calibri"/>
            </w:rPr>
            <w:instrText xml:space="preserve"> NUMPAGES </w:instrText>
          </w:r>
          <w:r>
            <w:rPr>
              <w:rFonts w:eastAsia="Calibri"/>
            </w:rPr>
            <w:fldChar w:fldCharType="separate"/>
          </w:r>
          <w:r w:rsidR="00337938">
            <w:rPr>
              <w:rFonts w:eastAsia="Calibri"/>
              <w:noProof/>
            </w:rPr>
            <w:t>240</w:t>
          </w:r>
          <w:r>
            <w:rPr>
              <w:rFonts w:eastAsia="Calibri"/>
            </w:rPr>
            <w:fldChar w:fldCharType="end"/>
          </w:r>
        </w:p>
      </w:tc>
    </w:tr>
  </w:tbl>
  <w:p w14:paraId="5BFDC0BC" w14:textId="77777777" w:rsidR="00204E95" w:rsidRDefault="00204E95">
    <w:pPr>
      <w:pStyle w:val="Pidipagina"/>
      <w:tabs>
        <w:tab w:val="clear" w:pos="4819"/>
        <w:tab w:val="clear" w:pos="9638"/>
        <w:tab w:val="left" w:pos="2595"/>
      </w:tabs>
      <w:spacing w:after="144"/>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C665C" w14:textId="77777777" w:rsidR="00204E95" w:rsidRDefault="00204E95"/>
  <w:tbl>
    <w:tblPr>
      <w:tblStyle w:val="Grigliatabella"/>
      <w:tblW w:w="10060" w:type="dxa"/>
      <w:jc w:val="center"/>
      <w:tblLayout w:type="fixed"/>
      <w:tblLook w:val="04A0" w:firstRow="1" w:lastRow="0" w:firstColumn="1" w:lastColumn="0" w:noHBand="0" w:noVBand="1"/>
    </w:tblPr>
    <w:tblGrid>
      <w:gridCol w:w="3819"/>
      <w:gridCol w:w="3122"/>
      <w:gridCol w:w="3119"/>
    </w:tblGrid>
    <w:tr w:rsidR="00204E95" w14:paraId="3E9C2BF0" w14:textId="77777777">
      <w:trPr>
        <w:jc w:val="center"/>
      </w:trPr>
      <w:tc>
        <w:tcPr>
          <w:tcW w:w="3819" w:type="dxa"/>
          <w:vAlign w:val="center"/>
        </w:tcPr>
        <w:p w14:paraId="27BFB203" w14:textId="77777777" w:rsidR="00204E95" w:rsidRDefault="00204E95">
          <w:pPr>
            <w:pStyle w:val="Intestazione"/>
            <w:widowControl w:val="0"/>
            <w:spacing w:after="144"/>
            <w:jc w:val="center"/>
            <w:rPr>
              <w:lang w:eastAsia="it-IT"/>
            </w:rPr>
          </w:pPr>
          <w:r>
            <w:rPr>
              <w:rFonts w:eastAsia="Calibri"/>
              <w:lang w:eastAsia="it-IT"/>
            </w:rPr>
            <w:t>Piano dei Sistemi</w:t>
          </w:r>
        </w:p>
      </w:tc>
      <w:tc>
        <w:tcPr>
          <w:tcW w:w="3122" w:type="dxa"/>
          <w:vAlign w:val="center"/>
        </w:tcPr>
        <w:p w14:paraId="001CE7B9" w14:textId="77777777" w:rsidR="00204E95" w:rsidRDefault="00204E95">
          <w:pPr>
            <w:pStyle w:val="Intestazione"/>
            <w:widowControl w:val="0"/>
            <w:spacing w:after="144"/>
            <w:jc w:val="center"/>
            <w:rPr>
              <w:rFonts w:ascii="Calibri" w:eastAsia="Calibri" w:hAnsi="Calibri"/>
            </w:rPr>
          </w:pPr>
          <w:r>
            <w:rPr>
              <w:rFonts w:eastAsia="Calibri"/>
            </w:rPr>
            <w:t>Rev. 2022 - 2024</w:t>
          </w:r>
        </w:p>
      </w:tc>
      <w:tc>
        <w:tcPr>
          <w:tcW w:w="3119" w:type="dxa"/>
          <w:vAlign w:val="center"/>
        </w:tcPr>
        <w:p w14:paraId="6FF25462" w14:textId="581FDD66" w:rsidR="00204E95" w:rsidRDefault="00204E95">
          <w:pPr>
            <w:pStyle w:val="Intestazione"/>
            <w:widowControl w:val="0"/>
            <w:spacing w:after="144"/>
            <w:jc w:val="center"/>
            <w:rPr>
              <w:rFonts w:ascii="Calibri" w:eastAsia="Calibri" w:hAnsi="Calibri"/>
            </w:rPr>
          </w:pPr>
          <w:r>
            <w:rPr>
              <w:rFonts w:eastAsia="Calibri"/>
            </w:rPr>
            <w:t xml:space="preserve">Pag.: </w:t>
          </w:r>
          <w:r>
            <w:rPr>
              <w:rFonts w:eastAsia="Calibri"/>
            </w:rPr>
            <w:fldChar w:fldCharType="begin"/>
          </w:r>
          <w:r>
            <w:rPr>
              <w:rFonts w:eastAsia="Calibri"/>
            </w:rPr>
            <w:instrText xml:space="preserve"> PAGE </w:instrText>
          </w:r>
          <w:r>
            <w:rPr>
              <w:rFonts w:eastAsia="Calibri"/>
            </w:rPr>
            <w:fldChar w:fldCharType="separate"/>
          </w:r>
          <w:r w:rsidR="00337938">
            <w:rPr>
              <w:rFonts w:eastAsia="Calibri"/>
              <w:noProof/>
            </w:rPr>
            <w:t>68</w:t>
          </w:r>
          <w:r>
            <w:rPr>
              <w:rFonts w:eastAsia="Calibri"/>
            </w:rPr>
            <w:fldChar w:fldCharType="end"/>
          </w:r>
          <w:r>
            <w:rPr>
              <w:rFonts w:eastAsia="Calibri"/>
            </w:rPr>
            <w:t xml:space="preserve">  di  </w:t>
          </w:r>
          <w:r>
            <w:rPr>
              <w:rFonts w:eastAsia="Calibri"/>
            </w:rPr>
            <w:fldChar w:fldCharType="begin"/>
          </w:r>
          <w:r>
            <w:rPr>
              <w:rFonts w:eastAsia="Calibri"/>
            </w:rPr>
            <w:instrText xml:space="preserve"> NUMPAGES </w:instrText>
          </w:r>
          <w:r>
            <w:rPr>
              <w:rFonts w:eastAsia="Calibri"/>
            </w:rPr>
            <w:fldChar w:fldCharType="separate"/>
          </w:r>
          <w:r w:rsidR="00337938">
            <w:rPr>
              <w:rFonts w:eastAsia="Calibri"/>
              <w:noProof/>
            </w:rPr>
            <w:t>240</w:t>
          </w:r>
          <w:r>
            <w:rPr>
              <w:rFonts w:eastAsia="Calibri"/>
            </w:rPr>
            <w:fldChar w:fldCharType="end"/>
          </w:r>
        </w:p>
      </w:tc>
    </w:tr>
  </w:tbl>
  <w:p w14:paraId="084E737A" w14:textId="77777777" w:rsidR="00204E95" w:rsidRDefault="00204E95">
    <w:pPr>
      <w:pStyle w:val="Pidipagina"/>
      <w:tabs>
        <w:tab w:val="clear" w:pos="4819"/>
        <w:tab w:val="clear" w:pos="9638"/>
        <w:tab w:val="left" w:pos="2595"/>
      </w:tabs>
      <w:spacing w:after="144"/>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10060" w:type="dxa"/>
      <w:jc w:val="center"/>
      <w:tblLayout w:type="fixed"/>
      <w:tblLook w:val="04A0" w:firstRow="1" w:lastRow="0" w:firstColumn="1" w:lastColumn="0" w:noHBand="0" w:noVBand="1"/>
    </w:tblPr>
    <w:tblGrid>
      <w:gridCol w:w="3819"/>
      <w:gridCol w:w="3122"/>
      <w:gridCol w:w="3119"/>
    </w:tblGrid>
    <w:tr w:rsidR="00204E95" w14:paraId="18DE2876" w14:textId="77777777">
      <w:trPr>
        <w:jc w:val="center"/>
      </w:trPr>
      <w:tc>
        <w:tcPr>
          <w:tcW w:w="3819" w:type="dxa"/>
          <w:vAlign w:val="center"/>
        </w:tcPr>
        <w:p w14:paraId="41794356" w14:textId="77777777" w:rsidR="00204E95" w:rsidRDefault="00204E95">
          <w:pPr>
            <w:pStyle w:val="Intestazione"/>
            <w:widowControl w:val="0"/>
            <w:spacing w:after="144"/>
            <w:jc w:val="center"/>
            <w:rPr>
              <w:lang w:eastAsia="it-IT"/>
            </w:rPr>
          </w:pPr>
          <w:r>
            <w:rPr>
              <w:rFonts w:eastAsia="Calibri"/>
              <w:lang w:eastAsia="it-IT"/>
            </w:rPr>
            <w:t>Piano dei Sistemi</w:t>
          </w:r>
        </w:p>
      </w:tc>
      <w:tc>
        <w:tcPr>
          <w:tcW w:w="3122" w:type="dxa"/>
          <w:vAlign w:val="center"/>
        </w:tcPr>
        <w:p w14:paraId="64191820" w14:textId="7AA805B5" w:rsidR="00204E95" w:rsidRDefault="00204E95">
          <w:pPr>
            <w:pStyle w:val="Intestazione"/>
            <w:widowControl w:val="0"/>
            <w:spacing w:after="144"/>
            <w:jc w:val="center"/>
            <w:rPr>
              <w:rFonts w:ascii="Calibri" w:eastAsia="Calibri" w:hAnsi="Calibri"/>
            </w:rPr>
          </w:pPr>
          <w:r>
            <w:rPr>
              <w:rFonts w:eastAsia="Calibri"/>
            </w:rPr>
            <w:t>Rev. 20</w:t>
          </w:r>
          <w:r w:rsidR="00A80348">
            <w:rPr>
              <w:rFonts w:eastAsia="Calibri"/>
            </w:rPr>
            <w:t>xx</w:t>
          </w:r>
          <w:r>
            <w:rPr>
              <w:rFonts w:eastAsia="Calibri"/>
            </w:rPr>
            <w:t xml:space="preserve"> </w:t>
          </w:r>
          <w:r w:rsidR="00A80348">
            <w:rPr>
              <w:rFonts w:eastAsia="Calibri"/>
            </w:rPr>
            <w:t>–</w:t>
          </w:r>
          <w:r>
            <w:rPr>
              <w:rFonts w:eastAsia="Calibri"/>
            </w:rPr>
            <w:t xml:space="preserve"> 20</w:t>
          </w:r>
          <w:r w:rsidR="00A80348">
            <w:rPr>
              <w:rFonts w:eastAsia="Calibri"/>
            </w:rPr>
            <w:t>xx</w:t>
          </w:r>
        </w:p>
      </w:tc>
      <w:tc>
        <w:tcPr>
          <w:tcW w:w="3119" w:type="dxa"/>
          <w:vAlign w:val="center"/>
        </w:tcPr>
        <w:p w14:paraId="31BF7451" w14:textId="28A18779" w:rsidR="00204E95" w:rsidRDefault="00204E95">
          <w:pPr>
            <w:pStyle w:val="Intestazione"/>
            <w:widowControl w:val="0"/>
            <w:spacing w:after="144"/>
            <w:jc w:val="center"/>
            <w:rPr>
              <w:rFonts w:ascii="Calibri" w:eastAsia="Calibri" w:hAnsi="Calibri"/>
            </w:rPr>
          </w:pPr>
          <w:r>
            <w:rPr>
              <w:rFonts w:eastAsia="Calibri"/>
            </w:rPr>
            <w:t xml:space="preserve">Pag.: </w:t>
          </w:r>
          <w:r>
            <w:rPr>
              <w:rFonts w:eastAsia="Calibri"/>
            </w:rPr>
            <w:fldChar w:fldCharType="begin"/>
          </w:r>
          <w:r>
            <w:rPr>
              <w:rFonts w:eastAsia="Calibri"/>
            </w:rPr>
            <w:instrText xml:space="preserve"> PAGE </w:instrText>
          </w:r>
          <w:r>
            <w:rPr>
              <w:rFonts w:eastAsia="Calibri"/>
            </w:rPr>
            <w:fldChar w:fldCharType="separate"/>
          </w:r>
          <w:r w:rsidR="00337938">
            <w:rPr>
              <w:rFonts w:eastAsia="Calibri"/>
              <w:noProof/>
            </w:rPr>
            <w:t>240</w:t>
          </w:r>
          <w:r>
            <w:rPr>
              <w:rFonts w:eastAsia="Calibri"/>
            </w:rPr>
            <w:fldChar w:fldCharType="end"/>
          </w:r>
          <w:r>
            <w:rPr>
              <w:rFonts w:eastAsia="Calibri"/>
            </w:rPr>
            <w:t xml:space="preserve">  di  </w:t>
          </w:r>
          <w:r>
            <w:rPr>
              <w:rFonts w:eastAsia="Calibri"/>
            </w:rPr>
            <w:fldChar w:fldCharType="begin"/>
          </w:r>
          <w:r>
            <w:rPr>
              <w:rFonts w:eastAsia="Calibri"/>
            </w:rPr>
            <w:instrText xml:space="preserve"> NUMPAGES </w:instrText>
          </w:r>
          <w:r>
            <w:rPr>
              <w:rFonts w:eastAsia="Calibri"/>
            </w:rPr>
            <w:fldChar w:fldCharType="separate"/>
          </w:r>
          <w:r w:rsidR="00337938">
            <w:rPr>
              <w:rFonts w:eastAsia="Calibri"/>
              <w:noProof/>
            </w:rPr>
            <w:t>240</w:t>
          </w:r>
          <w:r>
            <w:rPr>
              <w:rFonts w:eastAsia="Calibri"/>
            </w:rPr>
            <w:fldChar w:fldCharType="end"/>
          </w:r>
        </w:p>
      </w:tc>
    </w:tr>
  </w:tbl>
  <w:p w14:paraId="1DC2F2F6" w14:textId="77777777" w:rsidR="00204E95" w:rsidRDefault="00204E95" w:rsidP="00101354">
    <w:pPr>
      <w:pStyle w:val="Pidipagina"/>
      <w:tabs>
        <w:tab w:val="clear" w:pos="4819"/>
        <w:tab w:val="clear" w:pos="9638"/>
        <w:tab w:val="left" w:pos="2595"/>
      </w:tabs>
      <w:spacing w:after="144"/>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43310" w14:textId="77777777" w:rsidR="00651120" w:rsidRDefault="00651120">
      <w:pPr>
        <w:spacing w:before="0" w:after="0" w:line="240" w:lineRule="auto"/>
      </w:pPr>
      <w:r>
        <w:separator/>
      </w:r>
    </w:p>
  </w:footnote>
  <w:footnote w:type="continuationSeparator" w:id="0">
    <w:p w14:paraId="6F1C1A32" w14:textId="77777777" w:rsidR="00651120" w:rsidRDefault="0065112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E4B95" w14:textId="77777777" w:rsidR="00A80348" w:rsidRDefault="00A8034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70567" w14:textId="77777777" w:rsidR="00204E95" w:rsidRDefault="00204E95">
    <w:pPr>
      <w:pStyle w:val="Intestazione"/>
      <w:spacing w:after="144"/>
    </w:pPr>
  </w:p>
  <w:tbl>
    <w:tblPr>
      <w:tblStyle w:val="Grigliatabella"/>
      <w:tblW w:w="10065" w:type="dxa"/>
      <w:tblInd w:w="-431" w:type="dxa"/>
      <w:tblLayout w:type="fixed"/>
      <w:tblLook w:val="04A0" w:firstRow="1" w:lastRow="0" w:firstColumn="1" w:lastColumn="0" w:noHBand="0" w:noVBand="1"/>
    </w:tblPr>
    <w:tblGrid>
      <w:gridCol w:w="2694"/>
      <w:gridCol w:w="2551"/>
      <w:gridCol w:w="2268"/>
      <w:gridCol w:w="2552"/>
    </w:tblGrid>
    <w:tr w:rsidR="00204E95" w14:paraId="761D47AD" w14:textId="77777777">
      <w:tc>
        <w:tcPr>
          <w:tcW w:w="2693" w:type="dxa"/>
          <w:vAlign w:val="center"/>
        </w:tcPr>
        <w:p w14:paraId="1E9708CD"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73E096A2" wp14:editId="09FFC7FB">
                <wp:extent cx="1362075" cy="354965"/>
                <wp:effectExtent l="0" t="0" r="0" b="0"/>
                <wp:docPr id="2104644996" name="Immagine 210464499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553999078" descr="Immagine che contiene testo&#10;&#10;Descrizione generata automaticamente"/>
                        <pic:cNvPicPr>
                          <a:picLocks noChangeAspect="1" noChangeArrowheads="1"/>
                        </pic:cNvPicPr>
                      </pic:nvPicPr>
                      <pic:blipFill>
                        <a:blip r:embed="rId1"/>
                        <a:stretch>
                          <a:fillRect/>
                        </a:stretch>
                      </pic:blipFill>
                      <pic:spPr bwMode="auto">
                        <a:xfrm>
                          <a:off x="0" y="0"/>
                          <a:ext cx="1362075" cy="354965"/>
                        </a:xfrm>
                        <a:prstGeom prst="rect">
                          <a:avLst/>
                        </a:prstGeom>
                      </pic:spPr>
                    </pic:pic>
                  </a:graphicData>
                </a:graphic>
              </wp:inline>
            </w:drawing>
          </w:r>
        </w:p>
      </w:tc>
      <w:tc>
        <w:tcPr>
          <w:tcW w:w="2551" w:type="dxa"/>
          <w:vAlign w:val="center"/>
        </w:tcPr>
        <w:p w14:paraId="233965C9"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34A796DD" wp14:editId="1C537C59">
                <wp:extent cx="1190625" cy="366395"/>
                <wp:effectExtent l="0" t="0" r="0" b="0"/>
                <wp:docPr id="1650628433" name="Immagine 165062843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599247390" descr="Immagine che contiene testo&#10;&#10;Descrizione generata automaticamente"/>
                        <pic:cNvPicPr>
                          <a:picLocks noChangeAspect="1" noChangeArrowheads="1"/>
                        </pic:cNvPicPr>
                      </pic:nvPicPr>
                      <pic:blipFill>
                        <a:blip r:embed="rId2"/>
                        <a:srcRect l="31873" r="36067" b="39008"/>
                        <a:stretch>
                          <a:fillRect/>
                        </a:stretch>
                      </pic:blipFill>
                      <pic:spPr bwMode="auto">
                        <a:xfrm>
                          <a:off x="0" y="0"/>
                          <a:ext cx="1190625" cy="366395"/>
                        </a:xfrm>
                        <a:prstGeom prst="rect">
                          <a:avLst/>
                        </a:prstGeom>
                      </pic:spPr>
                    </pic:pic>
                  </a:graphicData>
                </a:graphic>
              </wp:inline>
            </w:drawing>
          </w:r>
        </w:p>
      </w:tc>
      <w:tc>
        <w:tcPr>
          <w:tcW w:w="2268" w:type="dxa"/>
          <w:vAlign w:val="center"/>
        </w:tcPr>
        <w:p w14:paraId="6C02842B"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49D61090" wp14:editId="344640ED">
                <wp:extent cx="933450" cy="268605"/>
                <wp:effectExtent l="0" t="0" r="0" b="0"/>
                <wp:docPr id="425280259" name="Immagine 42528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496808725"/>
                        <pic:cNvPicPr>
                          <a:picLocks noChangeAspect="1" noChangeArrowheads="1"/>
                        </pic:cNvPicPr>
                      </pic:nvPicPr>
                      <pic:blipFill>
                        <a:blip r:embed="rId3"/>
                        <a:stretch>
                          <a:fillRect/>
                        </a:stretch>
                      </pic:blipFill>
                      <pic:spPr bwMode="auto">
                        <a:xfrm>
                          <a:off x="0" y="0"/>
                          <a:ext cx="933450" cy="268605"/>
                        </a:xfrm>
                        <a:prstGeom prst="rect">
                          <a:avLst/>
                        </a:prstGeom>
                      </pic:spPr>
                    </pic:pic>
                  </a:graphicData>
                </a:graphic>
              </wp:inline>
            </w:drawing>
          </w:r>
        </w:p>
      </w:tc>
      <w:tc>
        <w:tcPr>
          <w:tcW w:w="2552" w:type="dxa"/>
        </w:tcPr>
        <w:p w14:paraId="37954FA5" w14:textId="29D983DE" w:rsidR="00204E95" w:rsidRDefault="00150AFE">
          <w:pPr>
            <w:pStyle w:val="Intestazione"/>
            <w:widowControl w:val="0"/>
            <w:spacing w:after="144"/>
            <w:jc w:val="center"/>
            <w:rPr>
              <w:rFonts w:ascii="Calibri" w:eastAsia="Calibri" w:hAnsi="Calibri"/>
            </w:rPr>
          </w:pPr>
          <w:r w:rsidRPr="00150AFE">
            <w:rPr>
              <w:noProof/>
              <w:highlight w:val="yellow"/>
              <w:lang w:eastAsia="it-IT"/>
            </w:rPr>
            <w:t>Inserire Logo</w:t>
          </w:r>
        </w:p>
      </w:tc>
    </w:tr>
  </w:tbl>
  <w:p w14:paraId="5C53B6C6" w14:textId="77777777" w:rsidR="00204E95" w:rsidRDefault="00204E95">
    <w:pPr>
      <w:pStyle w:val="Intestazione"/>
      <w:spacing w:after="14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13192" w14:textId="77777777" w:rsidR="00A80348" w:rsidRDefault="00A8034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D5FAE" w14:textId="77777777" w:rsidR="00204E95" w:rsidRDefault="00204E95">
    <w:pPr>
      <w:pStyle w:val="Intestazione"/>
      <w:spacing w:after="144"/>
    </w:pPr>
  </w:p>
  <w:tbl>
    <w:tblPr>
      <w:tblStyle w:val="Grigliatabella"/>
      <w:tblW w:w="10065" w:type="dxa"/>
      <w:jc w:val="center"/>
      <w:tblLayout w:type="fixed"/>
      <w:tblLook w:val="04A0" w:firstRow="1" w:lastRow="0" w:firstColumn="1" w:lastColumn="0" w:noHBand="0" w:noVBand="1"/>
    </w:tblPr>
    <w:tblGrid>
      <w:gridCol w:w="2694"/>
      <w:gridCol w:w="2551"/>
      <w:gridCol w:w="2268"/>
      <w:gridCol w:w="2552"/>
    </w:tblGrid>
    <w:tr w:rsidR="00204E95" w14:paraId="58394E3D" w14:textId="77777777" w:rsidTr="00A51B5D">
      <w:trPr>
        <w:jc w:val="center"/>
      </w:trPr>
      <w:tc>
        <w:tcPr>
          <w:tcW w:w="2693" w:type="dxa"/>
          <w:vAlign w:val="center"/>
        </w:tcPr>
        <w:p w14:paraId="7ECC7C2F"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444781DD" wp14:editId="064DDE32">
                <wp:extent cx="1362075" cy="354965"/>
                <wp:effectExtent l="0" t="0" r="0" b="0"/>
                <wp:docPr id="15" name="Immagine 211529468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2115294683" descr="Immagine che contiene testo&#10;&#10;Descrizione generata automaticamente"/>
                        <pic:cNvPicPr>
                          <a:picLocks noChangeAspect="1" noChangeArrowheads="1"/>
                        </pic:cNvPicPr>
                      </pic:nvPicPr>
                      <pic:blipFill>
                        <a:blip r:embed="rId1"/>
                        <a:stretch>
                          <a:fillRect/>
                        </a:stretch>
                      </pic:blipFill>
                      <pic:spPr bwMode="auto">
                        <a:xfrm>
                          <a:off x="0" y="0"/>
                          <a:ext cx="1362075" cy="354965"/>
                        </a:xfrm>
                        <a:prstGeom prst="rect">
                          <a:avLst/>
                        </a:prstGeom>
                      </pic:spPr>
                    </pic:pic>
                  </a:graphicData>
                </a:graphic>
              </wp:inline>
            </w:drawing>
          </w:r>
        </w:p>
      </w:tc>
      <w:tc>
        <w:tcPr>
          <w:tcW w:w="2551" w:type="dxa"/>
          <w:vAlign w:val="center"/>
        </w:tcPr>
        <w:p w14:paraId="05C51F73"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7451CEA5" wp14:editId="01718FC6">
                <wp:extent cx="1190625" cy="366395"/>
                <wp:effectExtent l="0" t="0" r="0" b="0"/>
                <wp:docPr id="16" name="Immagine 198845035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988450352" descr="Immagine che contiene testo&#10;&#10;Descrizione generata automaticamente"/>
                        <pic:cNvPicPr>
                          <a:picLocks noChangeAspect="1" noChangeArrowheads="1"/>
                        </pic:cNvPicPr>
                      </pic:nvPicPr>
                      <pic:blipFill>
                        <a:blip r:embed="rId2"/>
                        <a:srcRect l="31873" r="36067" b="39008"/>
                        <a:stretch>
                          <a:fillRect/>
                        </a:stretch>
                      </pic:blipFill>
                      <pic:spPr bwMode="auto">
                        <a:xfrm>
                          <a:off x="0" y="0"/>
                          <a:ext cx="1190625" cy="366395"/>
                        </a:xfrm>
                        <a:prstGeom prst="rect">
                          <a:avLst/>
                        </a:prstGeom>
                      </pic:spPr>
                    </pic:pic>
                  </a:graphicData>
                </a:graphic>
              </wp:inline>
            </w:drawing>
          </w:r>
        </w:p>
      </w:tc>
      <w:tc>
        <w:tcPr>
          <w:tcW w:w="2268" w:type="dxa"/>
          <w:vAlign w:val="center"/>
        </w:tcPr>
        <w:p w14:paraId="7654225E"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7CA54DE8" wp14:editId="6CAAB936">
                <wp:extent cx="933450" cy="268605"/>
                <wp:effectExtent l="0" t="0" r="0" b="0"/>
                <wp:docPr id="17" name="Immagine 176080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60805923"/>
                        <pic:cNvPicPr>
                          <a:picLocks noChangeAspect="1" noChangeArrowheads="1"/>
                        </pic:cNvPicPr>
                      </pic:nvPicPr>
                      <pic:blipFill>
                        <a:blip r:embed="rId3"/>
                        <a:stretch>
                          <a:fillRect/>
                        </a:stretch>
                      </pic:blipFill>
                      <pic:spPr bwMode="auto">
                        <a:xfrm>
                          <a:off x="0" y="0"/>
                          <a:ext cx="933450" cy="268605"/>
                        </a:xfrm>
                        <a:prstGeom prst="rect">
                          <a:avLst/>
                        </a:prstGeom>
                      </pic:spPr>
                    </pic:pic>
                  </a:graphicData>
                </a:graphic>
              </wp:inline>
            </w:drawing>
          </w:r>
        </w:p>
      </w:tc>
      <w:tc>
        <w:tcPr>
          <w:tcW w:w="2552" w:type="dxa"/>
        </w:tcPr>
        <w:p w14:paraId="14B754B5" w14:textId="77777777" w:rsidR="00204E95" w:rsidRDefault="00204E95">
          <w:pPr>
            <w:pStyle w:val="Intestazione"/>
            <w:widowControl w:val="0"/>
            <w:spacing w:after="144"/>
            <w:jc w:val="center"/>
            <w:rPr>
              <w:rFonts w:ascii="Calibri" w:eastAsia="Calibri" w:hAnsi="Calibri"/>
            </w:rPr>
          </w:pPr>
          <w:r>
            <w:rPr>
              <w:noProof/>
              <w:lang w:eastAsia="it-IT"/>
            </w:rPr>
            <w:drawing>
              <wp:inline distT="0" distB="0" distL="0" distR="0" wp14:anchorId="6C9042A0" wp14:editId="7558F79F">
                <wp:extent cx="714375" cy="394335"/>
                <wp:effectExtent l="0" t="0" r="0" b="0"/>
                <wp:docPr id="18" name="Immagine 877356086"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877356086" descr="Immagine che contiene logo&#10;&#10;Descrizione generata automaticamente"/>
                        <pic:cNvPicPr>
                          <a:picLocks noChangeAspect="1" noChangeArrowheads="1"/>
                        </pic:cNvPicPr>
                      </pic:nvPicPr>
                      <pic:blipFill>
                        <a:blip r:embed="rId4"/>
                        <a:stretch>
                          <a:fillRect/>
                        </a:stretch>
                      </pic:blipFill>
                      <pic:spPr bwMode="auto">
                        <a:xfrm>
                          <a:off x="0" y="0"/>
                          <a:ext cx="714375" cy="394335"/>
                        </a:xfrm>
                        <a:prstGeom prst="rect">
                          <a:avLst/>
                        </a:prstGeom>
                      </pic:spPr>
                    </pic:pic>
                  </a:graphicData>
                </a:graphic>
              </wp:inline>
            </w:drawing>
          </w:r>
        </w:p>
      </w:tc>
    </w:tr>
  </w:tbl>
  <w:p w14:paraId="297B53A0" w14:textId="77777777" w:rsidR="00204E95" w:rsidRDefault="00204E95">
    <w:pPr>
      <w:pStyle w:val="Intestazione"/>
      <w:spacing w:after="14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A3D9C" w14:textId="77777777" w:rsidR="00204E95" w:rsidRDefault="00204E95">
    <w:pPr>
      <w:pStyle w:val="Intestazione"/>
      <w:spacing w:after="144"/>
    </w:pPr>
  </w:p>
  <w:tbl>
    <w:tblPr>
      <w:tblStyle w:val="Grigliatabella"/>
      <w:tblW w:w="10065" w:type="dxa"/>
      <w:tblInd w:w="-431" w:type="dxa"/>
      <w:tblLayout w:type="fixed"/>
      <w:tblLook w:val="04A0" w:firstRow="1" w:lastRow="0" w:firstColumn="1" w:lastColumn="0" w:noHBand="0" w:noVBand="1"/>
    </w:tblPr>
    <w:tblGrid>
      <w:gridCol w:w="2694"/>
      <w:gridCol w:w="2551"/>
      <w:gridCol w:w="2268"/>
      <w:gridCol w:w="2552"/>
    </w:tblGrid>
    <w:tr w:rsidR="00204E95" w14:paraId="788D5296" w14:textId="77777777">
      <w:tc>
        <w:tcPr>
          <w:tcW w:w="2693" w:type="dxa"/>
          <w:vAlign w:val="center"/>
        </w:tcPr>
        <w:p w14:paraId="154A70B4"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71208692" wp14:editId="07D779F7">
                <wp:extent cx="1362075" cy="354965"/>
                <wp:effectExtent l="0" t="0" r="0" b="0"/>
                <wp:docPr id="27" name="Immagine 2115294683 Copy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115294683 Copy 1" descr="Immagine che contiene testo&#10;&#10;Descrizione generata automaticamente"/>
                        <pic:cNvPicPr>
                          <a:picLocks noChangeAspect="1" noChangeArrowheads="1"/>
                        </pic:cNvPicPr>
                      </pic:nvPicPr>
                      <pic:blipFill>
                        <a:blip r:embed="rId1"/>
                        <a:stretch>
                          <a:fillRect/>
                        </a:stretch>
                      </pic:blipFill>
                      <pic:spPr bwMode="auto">
                        <a:xfrm>
                          <a:off x="0" y="0"/>
                          <a:ext cx="1362075" cy="354965"/>
                        </a:xfrm>
                        <a:prstGeom prst="rect">
                          <a:avLst/>
                        </a:prstGeom>
                      </pic:spPr>
                    </pic:pic>
                  </a:graphicData>
                </a:graphic>
              </wp:inline>
            </w:drawing>
          </w:r>
        </w:p>
      </w:tc>
      <w:tc>
        <w:tcPr>
          <w:tcW w:w="2551" w:type="dxa"/>
          <w:vAlign w:val="center"/>
        </w:tcPr>
        <w:p w14:paraId="63D25380"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706EB3FF" wp14:editId="61FC3179">
                <wp:extent cx="1190625" cy="366395"/>
                <wp:effectExtent l="0" t="0" r="0" b="0"/>
                <wp:docPr id="28" name="Immagine 1988450352 Copy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1988450352 Copy 1" descr="Immagine che contiene testo&#10;&#10;Descrizione generata automaticamente"/>
                        <pic:cNvPicPr>
                          <a:picLocks noChangeAspect="1" noChangeArrowheads="1"/>
                        </pic:cNvPicPr>
                      </pic:nvPicPr>
                      <pic:blipFill>
                        <a:blip r:embed="rId2"/>
                        <a:srcRect l="31873" r="36067" b="39008"/>
                        <a:stretch>
                          <a:fillRect/>
                        </a:stretch>
                      </pic:blipFill>
                      <pic:spPr bwMode="auto">
                        <a:xfrm>
                          <a:off x="0" y="0"/>
                          <a:ext cx="1190625" cy="366395"/>
                        </a:xfrm>
                        <a:prstGeom prst="rect">
                          <a:avLst/>
                        </a:prstGeom>
                      </pic:spPr>
                    </pic:pic>
                  </a:graphicData>
                </a:graphic>
              </wp:inline>
            </w:drawing>
          </w:r>
        </w:p>
      </w:tc>
      <w:tc>
        <w:tcPr>
          <w:tcW w:w="2268" w:type="dxa"/>
          <w:vAlign w:val="center"/>
        </w:tcPr>
        <w:p w14:paraId="16DA327D"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2302E845" wp14:editId="41955577">
                <wp:extent cx="933450" cy="268605"/>
                <wp:effectExtent l="0" t="0" r="0" b="0"/>
                <wp:docPr id="29" name="Immagine 176080592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1760805923 Copy 1"/>
                        <pic:cNvPicPr>
                          <a:picLocks noChangeAspect="1" noChangeArrowheads="1"/>
                        </pic:cNvPicPr>
                      </pic:nvPicPr>
                      <pic:blipFill>
                        <a:blip r:embed="rId3"/>
                        <a:stretch>
                          <a:fillRect/>
                        </a:stretch>
                      </pic:blipFill>
                      <pic:spPr bwMode="auto">
                        <a:xfrm>
                          <a:off x="0" y="0"/>
                          <a:ext cx="933450" cy="268605"/>
                        </a:xfrm>
                        <a:prstGeom prst="rect">
                          <a:avLst/>
                        </a:prstGeom>
                      </pic:spPr>
                    </pic:pic>
                  </a:graphicData>
                </a:graphic>
              </wp:inline>
            </w:drawing>
          </w:r>
        </w:p>
      </w:tc>
      <w:tc>
        <w:tcPr>
          <w:tcW w:w="2552" w:type="dxa"/>
        </w:tcPr>
        <w:p w14:paraId="4BCFA8D8" w14:textId="77777777" w:rsidR="00204E95" w:rsidRDefault="00204E95">
          <w:pPr>
            <w:pStyle w:val="Intestazione"/>
            <w:widowControl w:val="0"/>
            <w:spacing w:after="144"/>
            <w:jc w:val="center"/>
            <w:rPr>
              <w:rFonts w:ascii="Calibri" w:eastAsia="Calibri" w:hAnsi="Calibri"/>
            </w:rPr>
          </w:pPr>
          <w:r>
            <w:rPr>
              <w:noProof/>
              <w:lang w:eastAsia="it-IT"/>
            </w:rPr>
            <w:drawing>
              <wp:inline distT="0" distB="0" distL="0" distR="0" wp14:anchorId="18FC8B20" wp14:editId="2B721CBF">
                <wp:extent cx="714375" cy="394335"/>
                <wp:effectExtent l="0" t="0" r="0" b="0"/>
                <wp:docPr id="30" name="Immagine 877356086 Copy 1"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877356086 Copy 1" descr="Immagine che contiene logo&#10;&#10;Descrizione generata automaticamente"/>
                        <pic:cNvPicPr>
                          <a:picLocks noChangeAspect="1" noChangeArrowheads="1"/>
                        </pic:cNvPicPr>
                      </pic:nvPicPr>
                      <pic:blipFill>
                        <a:blip r:embed="rId4"/>
                        <a:stretch>
                          <a:fillRect/>
                        </a:stretch>
                      </pic:blipFill>
                      <pic:spPr bwMode="auto">
                        <a:xfrm>
                          <a:off x="0" y="0"/>
                          <a:ext cx="714375" cy="394335"/>
                        </a:xfrm>
                        <a:prstGeom prst="rect">
                          <a:avLst/>
                        </a:prstGeom>
                      </pic:spPr>
                    </pic:pic>
                  </a:graphicData>
                </a:graphic>
              </wp:inline>
            </w:drawing>
          </w:r>
        </w:p>
      </w:tc>
    </w:tr>
  </w:tbl>
  <w:p w14:paraId="60A648D0" w14:textId="77777777" w:rsidR="00204E95" w:rsidRDefault="00204E95">
    <w:pPr>
      <w:pStyle w:val="Intestazione"/>
      <w:spacing w:after="14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10065" w:type="dxa"/>
      <w:jc w:val="center"/>
      <w:tblLayout w:type="fixed"/>
      <w:tblLook w:val="04A0" w:firstRow="1" w:lastRow="0" w:firstColumn="1" w:lastColumn="0" w:noHBand="0" w:noVBand="1"/>
    </w:tblPr>
    <w:tblGrid>
      <w:gridCol w:w="2694"/>
      <w:gridCol w:w="2551"/>
      <w:gridCol w:w="2268"/>
      <w:gridCol w:w="2552"/>
    </w:tblGrid>
    <w:tr w:rsidR="00204E95" w14:paraId="565C7299" w14:textId="77777777" w:rsidTr="00A51B5D">
      <w:trPr>
        <w:jc w:val="center"/>
      </w:trPr>
      <w:tc>
        <w:tcPr>
          <w:tcW w:w="2694" w:type="dxa"/>
          <w:vAlign w:val="center"/>
        </w:tcPr>
        <w:p w14:paraId="66A3DFDC"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266E85D1" wp14:editId="79106502">
                <wp:extent cx="1362075" cy="354965"/>
                <wp:effectExtent l="0" t="0" r="0" b="0"/>
                <wp:docPr id="202" name="Immagine 2115294683 Copy 1 Copy 1 Copy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magine 2115294683 Copy 1 Copy 1 Copy 1" descr="Immagine che contiene testo&#10;&#10;Descrizione generata automaticamente"/>
                        <pic:cNvPicPr>
                          <a:picLocks noChangeAspect="1" noChangeArrowheads="1"/>
                        </pic:cNvPicPr>
                      </pic:nvPicPr>
                      <pic:blipFill>
                        <a:blip r:embed="rId1"/>
                        <a:stretch>
                          <a:fillRect/>
                        </a:stretch>
                      </pic:blipFill>
                      <pic:spPr bwMode="auto">
                        <a:xfrm>
                          <a:off x="0" y="0"/>
                          <a:ext cx="1362075" cy="354965"/>
                        </a:xfrm>
                        <a:prstGeom prst="rect">
                          <a:avLst/>
                        </a:prstGeom>
                      </pic:spPr>
                    </pic:pic>
                  </a:graphicData>
                </a:graphic>
              </wp:inline>
            </w:drawing>
          </w:r>
        </w:p>
      </w:tc>
      <w:tc>
        <w:tcPr>
          <w:tcW w:w="2551" w:type="dxa"/>
          <w:vAlign w:val="center"/>
        </w:tcPr>
        <w:p w14:paraId="37CFF4FB"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050005E0" wp14:editId="6CEE177F">
                <wp:extent cx="1190625" cy="366395"/>
                <wp:effectExtent l="0" t="0" r="0" b="0"/>
                <wp:docPr id="203" name="Immagine 1988450352 Copy 1 Copy 1 Copy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magine 1988450352 Copy 1 Copy 1 Copy 1" descr="Immagine che contiene testo&#10;&#10;Descrizione generata automaticamente"/>
                        <pic:cNvPicPr>
                          <a:picLocks noChangeAspect="1" noChangeArrowheads="1"/>
                        </pic:cNvPicPr>
                      </pic:nvPicPr>
                      <pic:blipFill>
                        <a:blip r:embed="rId2"/>
                        <a:srcRect l="31873" r="36067" b="39008"/>
                        <a:stretch>
                          <a:fillRect/>
                        </a:stretch>
                      </pic:blipFill>
                      <pic:spPr bwMode="auto">
                        <a:xfrm>
                          <a:off x="0" y="0"/>
                          <a:ext cx="1190625" cy="366395"/>
                        </a:xfrm>
                        <a:prstGeom prst="rect">
                          <a:avLst/>
                        </a:prstGeom>
                      </pic:spPr>
                    </pic:pic>
                  </a:graphicData>
                </a:graphic>
              </wp:inline>
            </w:drawing>
          </w:r>
        </w:p>
      </w:tc>
      <w:tc>
        <w:tcPr>
          <w:tcW w:w="2268" w:type="dxa"/>
          <w:vAlign w:val="center"/>
        </w:tcPr>
        <w:p w14:paraId="3FF616E7" w14:textId="77777777" w:rsidR="00204E95" w:rsidRDefault="00204E95">
          <w:pPr>
            <w:pStyle w:val="Intestazione"/>
            <w:widowControl w:val="0"/>
            <w:spacing w:after="144"/>
            <w:rPr>
              <w:rFonts w:ascii="Calibri" w:eastAsia="Calibri" w:hAnsi="Calibri"/>
            </w:rPr>
          </w:pPr>
          <w:r>
            <w:rPr>
              <w:noProof/>
              <w:lang w:eastAsia="it-IT"/>
            </w:rPr>
            <w:drawing>
              <wp:inline distT="0" distB="0" distL="0" distR="0" wp14:anchorId="05085B07" wp14:editId="2C98C0A2">
                <wp:extent cx="933450" cy="268605"/>
                <wp:effectExtent l="0" t="0" r="0" b="0"/>
                <wp:docPr id="204" name="Immagine 1760805923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magine 1760805923 Copy 1 Copy 1 Copy 1"/>
                        <pic:cNvPicPr>
                          <a:picLocks noChangeAspect="1" noChangeArrowheads="1"/>
                        </pic:cNvPicPr>
                      </pic:nvPicPr>
                      <pic:blipFill>
                        <a:blip r:embed="rId3"/>
                        <a:stretch>
                          <a:fillRect/>
                        </a:stretch>
                      </pic:blipFill>
                      <pic:spPr bwMode="auto">
                        <a:xfrm>
                          <a:off x="0" y="0"/>
                          <a:ext cx="933450" cy="268605"/>
                        </a:xfrm>
                        <a:prstGeom prst="rect">
                          <a:avLst/>
                        </a:prstGeom>
                      </pic:spPr>
                    </pic:pic>
                  </a:graphicData>
                </a:graphic>
              </wp:inline>
            </w:drawing>
          </w:r>
        </w:p>
      </w:tc>
      <w:tc>
        <w:tcPr>
          <w:tcW w:w="2552" w:type="dxa"/>
        </w:tcPr>
        <w:p w14:paraId="5ED96DF7" w14:textId="003D1D4F" w:rsidR="00204E95" w:rsidRDefault="00A80348">
          <w:pPr>
            <w:pStyle w:val="Intestazione"/>
            <w:widowControl w:val="0"/>
            <w:spacing w:after="144"/>
            <w:jc w:val="center"/>
            <w:rPr>
              <w:rFonts w:ascii="Calibri" w:eastAsia="Calibri" w:hAnsi="Calibri"/>
            </w:rPr>
          </w:pPr>
          <w:r>
            <w:rPr>
              <w:rFonts w:ascii="Calibri" w:eastAsia="Calibri" w:hAnsi="Calibri"/>
            </w:rPr>
            <w:t>Logo ente</w:t>
          </w:r>
        </w:p>
      </w:tc>
    </w:tr>
  </w:tbl>
  <w:p w14:paraId="33A53791" w14:textId="77777777" w:rsidR="00204E95" w:rsidRDefault="00204E95" w:rsidP="00101354">
    <w:pPr>
      <w:pStyle w:val="Intestazione"/>
      <w:spacing w:after="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53A33"/>
    <w:multiLevelType w:val="multilevel"/>
    <w:tmpl w:val="0CF44686"/>
    <w:lvl w:ilvl="0">
      <w:start w:val="1"/>
      <w:numFmt w:val="bullet"/>
      <w:lvlText w:val=""/>
      <w:lvlJc w:val="left"/>
      <w:pPr>
        <w:tabs>
          <w:tab w:val="num" w:pos="0"/>
        </w:tabs>
        <w:ind w:left="72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10E01DD2"/>
    <w:multiLevelType w:val="multilevel"/>
    <w:tmpl w:val="7F708A48"/>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2" w15:restartNumberingAfterBreak="0">
    <w:nsid w:val="12A454BA"/>
    <w:multiLevelType w:val="multilevel"/>
    <w:tmpl w:val="3C700C86"/>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5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abstractNum>
  <w:abstractNum w:abstractNumId="3" w15:restartNumberingAfterBreak="0">
    <w:nsid w:val="14303C2B"/>
    <w:multiLevelType w:val="multilevel"/>
    <w:tmpl w:val="E28CCB8E"/>
    <w:lvl w:ilvl="0">
      <w:start w:val="1"/>
      <w:numFmt w:val="bullet"/>
      <w:lvlText w:val="●"/>
      <w:lvlJc w:val="left"/>
      <w:pPr>
        <w:tabs>
          <w:tab w:val="num" w:pos="0"/>
        </w:tabs>
        <w:ind w:left="705"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1">
      <w:start w:val="1"/>
      <w:numFmt w:val="bullet"/>
      <w:lvlText w:val="o"/>
      <w:lvlJc w:val="left"/>
      <w:pPr>
        <w:tabs>
          <w:tab w:val="num" w:pos="0"/>
        </w:tabs>
        <w:ind w:left="144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2">
      <w:start w:val="1"/>
      <w:numFmt w:val="bullet"/>
      <w:lvlText w:val="▪"/>
      <w:lvlJc w:val="left"/>
      <w:pPr>
        <w:tabs>
          <w:tab w:val="num" w:pos="0"/>
        </w:tabs>
        <w:ind w:left="216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3">
      <w:start w:val="1"/>
      <w:numFmt w:val="bullet"/>
      <w:lvlText w:val="•"/>
      <w:lvlJc w:val="left"/>
      <w:pPr>
        <w:tabs>
          <w:tab w:val="num" w:pos="0"/>
        </w:tabs>
        <w:ind w:left="288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4">
      <w:start w:val="1"/>
      <w:numFmt w:val="bullet"/>
      <w:lvlText w:val="o"/>
      <w:lvlJc w:val="left"/>
      <w:pPr>
        <w:tabs>
          <w:tab w:val="num" w:pos="0"/>
        </w:tabs>
        <w:ind w:left="360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5">
      <w:start w:val="1"/>
      <w:numFmt w:val="bullet"/>
      <w:lvlText w:val="▪"/>
      <w:lvlJc w:val="left"/>
      <w:pPr>
        <w:tabs>
          <w:tab w:val="num" w:pos="0"/>
        </w:tabs>
        <w:ind w:left="432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6">
      <w:start w:val="1"/>
      <w:numFmt w:val="bullet"/>
      <w:lvlText w:val="•"/>
      <w:lvlJc w:val="left"/>
      <w:pPr>
        <w:tabs>
          <w:tab w:val="num" w:pos="0"/>
        </w:tabs>
        <w:ind w:left="504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7">
      <w:start w:val="1"/>
      <w:numFmt w:val="bullet"/>
      <w:lvlText w:val="o"/>
      <w:lvlJc w:val="left"/>
      <w:pPr>
        <w:tabs>
          <w:tab w:val="num" w:pos="0"/>
        </w:tabs>
        <w:ind w:left="576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lvl w:ilvl="8">
      <w:start w:val="1"/>
      <w:numFmt w:val="bullet"/>
      <w:lvlText w:val="▪"/>
      <w:lvlJc w:val="left"/>
      <w:pPr>
        <w:tabs>
          <w:tab w:val="num" w:pos="0"/>
        </w:tabs>
        <w:ind w:left="6480" w:firstLine="0"/>
      </w:pPr>
      <w:rPr>
        <w:rFonts w:ascii="Calibri" w:hAnsi="Calibri" w:cs="Calibri" w:hint="default"/>
        <w:b w:val="0"/>
        <w:i w:val="0"/>
        <w:strike w:val="0"/>
        <w:dstrike w:val="0"/>
        <w:color w:val="000000"/>
        <w:position w:val="0"/>
        <w:sz w:val="22"/>
        <w:szCs w:val="22"/>
        <w:u w:val="none" w:color="000000"/>
        <w:shd w:val="clear" w:color="auto" w:fill="auto"/>
        <w:vertAlign w:val="baseline"/>
      </w:rPr>
    </w:lvl>
  </w:abstractNum>
  <w:abstractNum w:abstractNumId="4" w15:restartNumberingAfterBreak="0">
    <w:nsid w:val="158D7ABC"/>
    <w:multiLevelType w:val="multilevel"/>
    <w:tmpl w:val="C46E32FE"/>
    <w:lvl w:ilvl="0">
      <w:start w:val="1"/>
      <w:numFmt w:val="bullet"/>
      <w:pStyle w:val="Puntoelenco"/>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217B330C"/>
    <w:multiLevelType w:val="multilevel"/>
    <w:tmpl w:val="FCDC46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1CB14BF"/>
    <w:multiLevelType w:val="multilevel"/>
    <w:tmpl w:val="37FE7FD6"/>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7" w15:restartNumberingAfterBreak="0">
    <w:nsid w:val="24BE44CF"/>
    <w:multiLevelType w:val="multilevel"/>
    <w:tmpl w:val="0DC477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24EC2527"/>
    <w:multiLevelType w:val="multilevel"/>
    <w:tmpl w:val="18049FA2"/>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9" w15:restartNumberingAfterBreak="0">
    <w:nsid w:val="270D5BDF"/>
    <w:multiLevelType w:val="multilevel"/>
    <w:tmpl w:val="6B867C26"/>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5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abstractNum>
  <w:abstractNum w:abstractNumId="10" w15:restartNumberingAfterBreak="0">
    <w:nsid w:val="2D0F569E"/>
    <w:multiLevelType w:val="multilevel"/>
    <w:tmpl w:val="8B108A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2ED9067E"/>
    <w:multiLevelType w:val="multilevel"/>
    <w:tmpl w:val="7C8436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0962870"/>
    <w:multiLevelType w:val="multilevel"/>
    <w:tmpl w:val="031A5452"/>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3" w15:restartNumberingAfterBreak="0">
    <w:nsid w:val="328E3286"/>
    <w:multiLevelType w:val="multilevel"/>
    <w:tmpl w:val="1494EAF4"/>
    <w:lvl w:ilvl="0">
      <w:numFmt w:val="bullet"/>
      <w:lvlText w:val="•"/>
      <w:lvlJc w:val="left"/>
      <w:pPr>
        <w:tabs>
          <w:tab w:val="num" w:pos="0"/>
        </w:tabs>
        <w:ind w:left="646" w:hanging="360"/>
      </w:pPr>
      <w:rPr>
        <w:rFonts w:ascii="Calibri" w:eastAsiaTheme="minorHAnsi" w:hAnsi="Calibri" w:cs="Calibri"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4" w15:restartNumberingAfterBreak="0">
    <w:nsid w:val="34223BB4"/>
    <w:multiLevelType w:val="multilevel"/>
    <w:tmpl w:val="548CF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5B512A7"/>
    <w:multiLevelType w:val="multilevel"/>
    <w:tmpl w:val="A56800F4"/>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5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Courier New" w:hAnsi="Courier New" w:cs="Courier New" w:hint="default"/>
        <w:b w:val="0"/>
        <w:i w:val="0"/>
        <w:strike w:val="0"/>
        <w:dstrike w:val="0"/>
        <w:color w:val="000000"/>
        <w:position w:val="0"/>
        <w:sz w:val="20"/>
        <w:szCs w:val="20"/>
        <w:u w:val="none" w:color="000000"/>
        <w:shd w:val="clear" w:color="auto" w:fill="auto"/>
        <w:vertAlign w:val="baseline"/>
      </w:rPr>
    </w:lvl>
  </w:abstractNum>
  <w:abstractNum w:abstractNumId="16" w15:restartNumberingAfterBreak="0">
    <w:nsid w:val="392324E6"/>
    <w:multiLevelType w:val="multilevel"/>
    <w:tmpl w:val="959CEE34"/>
    <w:lvl w:ilvl="0">
      <w:numFmt w:val="bullet"/>
      <w:lvlText w:val="●"/>
      <w:lvlJc w:val="left"/>
      <w:pPr>
        <w:tabs>
          <w:tab w:val="num" w:pos="0"/>
        </w:tabs>
        <w:ind w:left="1302" w:hanging="360"/>
      </w:pPr>
      <w:rPr>
        <w:rFonts w:ascii="Verdana" w:hAnsi="Verdana" w:cs="Verdana" w:hint="default"/>
        <w:b w:val="0"/>
        <w:bCs w:val="0"/>
        <w:i w:val="0"/>
        <w:iCs w:val="0"/>
        <w:w w:val="100"/>
        <w:sz w:val="22"/>
        <w:szCs w:val="22"/>
        <w:lang w:val="it-IT" w:eastAsia="en-US" w:bidi="ar-SA"/>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7" w15:restartNumberingAfterBreak="0">
    <w:nsid w:val="448566C0"/>
    <w:multiLevelType w:val="multilevel"/>
    <w:tmpl w:val="31AAC2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A113701"/>
    <w:multiLevelType w:val="multilevel"/>
    <w:tmpl w:val="A58A087A"/>
    <w:lvl w:ilvl="0">
      <w:numFmt w:val="bullet"/>
      <w:lvlText w:val="•"/>
      <w:lvlJc w:val="left"/>
      <w:pPr>
        <w:tabs>
          <w:tab w:val="num" w:pos="0"/>
        </w:tabs>
        <w:ind w:left="646" w:hanging="360"/>
      </w:pPr>
      <w:rPr>
        <w:rFonts w:ascii="Calibri" w:eastAsiaTheme="minorHAnsi" w:hAnsi="Calibri" w:cs="Calibri"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9" w15:restartNumberingAfterBreak="0">
    <w:nsid w:val="4C412DEF"/>
    <w:multiLevelType w:val="multilevel"/>
    <w:tmpl w:val="BEEAD1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576D2D31"/>
    <w:multiLevelType w:val="multilevel"/>
    <w:tmpl w:val="DAF6B6DA"/>
    <w:lvl w:ilvl="0">
      <w:numFmt w:val="bullet"/>
      <w:lvlText w:val="●"/>
      <w:lvlJc w:val="left"/>
      <w:pPr>
        <w:tabs>
          <w:tab w:val="num" w:pos="0"/>
        </w:tabs>
        <w:ind w:left="1160" w:hanging="360"/>
      </w:pPr>
      <w:rPr>
        <w:rFonts w:ascii="Calibri" w:hAnsi="Calibri" w:cs="Calibri" w:hint="default"/>
        <w:b w:val="0"/>
        <w:bCs w:val="0"/>
        <w:i w:val="0"/>
        <w:iCs w:val="0"/>
        <w:w w:val="100"/>
        <w:sz w:val="22"/>
        <w:szCs w:val="22"/>
        <w:lang w:val="it-IT" w:eastAsia="en-US" w:bidi="ar-SA"/>
      </w:rPr>
    </w:lvl>
    <w:lvl w:ilvl="1">
      <w:numFmt w:val="bullet"/>
      <w:lvlText w:val=""/>
      <w:lvlJc w:val="left"/>
      <w:pPr>
        <w:tabs>
          <w:tab w:val="num" w:pos="0"/>
        </w:tabs>
        <w:ind w:left="2002" w:hanging="360"/>
      </w:pPr>
      <w:rPr>
        <w:rFonts w:ascii="Symbol" w:hAnsi="Symbol" w:cs="Symbol" w:hint="default"/>
        <w:lang w:val="it-IT" w:eastAsia="en-US" w:bidi="ar-SA"/>
      </w:rPr>
    </w:lvl>
    <w:lvl w:ilvl="2">
      <w:numFmt w:val="bullet"/>
      <w:lvlText w:val=""/>
      <w:lvlJc w:val="left"/>
      <w:pPr>
        <w:tabs>
          <w:tab w:val="num" w:pos="0"/>
        </w:tabs>
        <w:ind w:left="2845" w:hanging="360"/>
      </w:pPr>
      <w:rPr>
        <w:rFonts w:ascii="Symbol" w:hAnsi="Symbol" w:cs="Symbol" w:hint="default"/>
        <w:lang w:val="it-IT" w:eastAsia="en-US" w:bidi="ar-SA"/>
      </w:rPr>
    </w:lvl>
    <w:lvl w:ilvl="3">
      <w:numFmt w:val="bullet"/>
      <w:lvlText w:val=""/>
      <w:lvlJc w:val="left"/>
      <w:pPr>
        <w:tabs>
          <w:tab w:val="num" w:pos="0"/>
        </w:tabs>
        <w:ind w:left="3687" w:hanging="360"/>
      </w:pPr>
      <w:rPr>
        <w:rFonts w:ascii="Symbol" w:hAnsi="Symbol" w:cs="Symbol" w:hint="default"/>
        <w:lang w:val="it-IT" w:eastAsia="en-US" w:bidi="ar-SA"/>
      </w:rPr>
    </w:lvl>
    <w:lvl w:ilvl="4">
      <w:numFmt w:val="bullet"/>
      <w:lvlText w:val=""/>
      <w:lvlJc w:val="left"/>
      <w:pPr>
        <w:tabs>
          <w:tab w:val="num" w:pos="0"/>
        </w:tabs>
        <w:ind w:left="4530" w:hanging="360"/>
      </w:pPr>
      <w:rPr>
        <w:rFonts w:ascii="Symbol" w:hAnsi="Symbol" w:cs="Symbol" w:hint="default"/>
        <w:lang w:val="it-IT" w:eastAsia="en-US" w:bidi="ar-SA"/>
      </w:rPr>
    </w:lvl>
    <w:lvl w:ilvl="5">
      <w:numFmt w:val="bullet"/>
      <w:lvlText w:val=""/>
      <w:lvlJc w:val="left"/>
      <w:pPr>
        <w:tabs>
          <w:tab w:val="num" w:pos="0"/>
        </w:tabs>
        <w:ind w:left="5373" w:hanging="360"/>
      </w:pPr>
      <w:rPr>
        <w:rFonts w:ascii="Symbol" w:hAnsi="Symbol" w:cs="Symbol" w:hint="default"/>
        <w:lang w:val="it-IT" w:eastAsia="en-US" w:bidi="ar-SA"/>
      </w:rPr>
    </w:lvl>
    <w:lvl w:ilvl="6">
      <w:numFmt w:val="bullet"/>
      <w:lvlText w:val=""/>
      <w:lvlJc w:val="left"/>
      <w:pPr>
        <w:tabs>
          <w:tab w:val="num" w:pos="0"/>
        </w:tabs>
        <w:ind w:left="6215" w:hanging="360"/>
      </w:pPr>
      <w:rPr>
        <w:rFonts w:ascii="Symbol" w:hAnsi="Symbol" w:cs="Symbol" w:hint="default"/>
        <w:lang w:val="it-IT" w:eastAsia="en-US" w:bidi="ar-SA"/>
      </w:rPr>
    </w:lvl>
    <w:lvl w:ilvl="7">
      <w:numFmt w:val="bullet"/>
      <w:lvlText w:val=""/>
      <w:lvlJc w:val="left"/>
      <w:pPr>
        <w:tabs>
          <w:tab w:val="num" w:pos="0"/>
        </w:tabs>
        <w:ind w:left="7058" w:hanging="360"/>
      </w:pPr>
      <w:rPr>
        <w:rFonts w:ascii="Symbol" w:hAnsi="Symbol" w:cs="Symbol" w:hint="default"/>
        <w:lang w:val="it-IT" w:eastAsia="en-US" w:bidi="ar-SA"/>
      </w:rPr>
    </w:lvl>
    <w:lvl w:ilvl="8">
      <w:numFmt w:val="bullet"/>
      <w:lvlText w:val=""/>
      <w:lvlJc w:val="left"/>
      <w:pPr>
        <w:tabs>
          <w:tab w:val="num" w:pos="0"/>
        </w:tabs>
        <w:ind w:left="7901" w:hanging="360"/>
      </w:pPr>
      <w:rPr>
        <w:rFonts w:ascii="Symbol" w:hAnsi="Symbol" w:cs="Symbol" w:hint="default"/>
        <w:lang w:val="it-IT" w:eastAsia="en-US" w:bidi="ar-SA"/>
      </w:rPr>
    </w:lvl>
  </w:abstractNum>
  <w:abstractNum w:abstractNumId="21" w15:restartNumberingAfterBreak="0">
    <w:nsid w:val="5A082CB7"/>
    <w:multiLevelType w:val="multilevel"/>
    <w:tmpl w:val="31342144"/>
    <w:lvl w:ilvl="0">
      <w:start w:val="1"/>
      <w:numFmt w:val="bullet"/>
      <w:pStyle w:val="Paragrafoelenco"/>
      <w:lvlText w:val=""/>
      <w:lvlJc w:val="left"/>
      <w:pPr>
        <w:tabs>
          <w:tab w:val="num" w:pos="720"/>
        </w:tabs>
        <w:ind w:left="720" w:hanging="360"/>
      </w:pPr>
      <w:rPr>
        <w:rFonts w:ascii="Symbol" w:hAnsi="Symbol" w:cs="Symbol" w:hint="default"/>
        <w:sz w:val="20"/>
      </w:rPr>
    </w:lvl>
    <w:lvl w:ilvl="1">
      <w:numFmt w:val="bullet"/>
      <w:lvlText w:val="•"/>
      <w:lvlJc w:val="left"/>
      <w:pPr>
        <w:tabs>
          <w:tab w:val="num" w:pos="0"/>
        </w:tabs>
        <w:ind w:left="1440" w:hanging="360"/>
      </w:pPr>
      <w:rPr>
        <w:rFonts w:ascii="Calibri" w:eastAsiaTheme="minorHAnsi" w:hAnsi="Calibri" w:cs="Calibri"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15:restartNumberingAfterBreak="0">
    <w:nsid w:val="5C1306A3"/>
    <w:multiLevelType w:val="multilevel"/>
    <w:tmpl w:val="A176CCA2"/>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14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abstractNum>
  <w:abstractNum w:abstractNumId="23" w15:restartNumberingAfterBreak="0">
    <w:nsid w:val="5E0D5FD6"/>
    <w:multiLevelType w:val="multilevel"/>
    <w:tmpl w:val="E17E5382"/>
    <w:lvl w:ilvl="0">
      <w:start w:val="1"/>
      <w:numFmt w:val="bullet"/>
      <w:lvlText w:val="•"/>
      <w:lvlJc w:val="left"/>
      <w:pPr>
        <w:tabs>
          <w:tab w:val="num" w:pos="0"/>
        </w:tabs>
        <w:ind w:left="719" w:firstLine="0"/>
      </w:pPr>
      <w:rPr>
        <w:rFonts w:ascii="Arial" w:hAnsi="Arial" w:cs="Arial" w:hint="default"/>
        <w:b w:val="0"/>
        <w:i w:val="0"/>
        <w:strike w:val="0"/>
        <w:dstrike w:val="0"/>
        <w:color w:val="000000"/>
        <w:position w:val="0"/>
        <w:sz w:val="22"/>
        <w:szCs w:val="22"/>
        <w:u w:val="none" w:color="000000"/>
        <w:shd w:val="clear" w:color="auto" w:fill="auto"/>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2"/>
        <w:szCs w:val="22"/>
        <w:u w:val="none" w:color="000000"/>
        <w:shd w:val="clear" w:color="auto" w:fill="auto"/>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2"/>
        <w:szCs w:val="22"/>
        <w:u w:val="none" w:color="000000"/>
        <w:shd w:val="clear" w:color="auto" w:fill="auto"/>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2"/>
        <w:szCs w:val="22"/>
        <w:u w:val="none" w:color="000000"/>
        <w:shd w:val="clear" w:color="auto" w:fill="auto"/>
        <w:vertAlign w:val="baseline"/>
      </w:rPr>
    </w:lvl>
  </w:abstractNum>
  <w:abstractNum w:abstractNumId="24" w15:restartNumberingAfterBreak="0">
    <w:nsid w:val="61D2795F"/>
    <w:multiLevelType w:val="multilevel"/>
    <w:tmpl w:val="100CE266"/>
    <w:lvl w:ilvl="0">
      <w:start w:val="1"/>
      <w:numFmt w:val="decimal"/>
      <w:lvlText w:val="%1."/>
      <w:lvlJc w:val="left"/>
      <w:pPr>
        <w:tabs>
          <w:tab w:val="num" w:pos="0"/>
        </w:tabs>
        <w:ind w:left="862" w:hanging="360"/>
      </w:p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25" w15:restartNumberingAfterBreak="0">
    <w:nsid w:val="626753D8"/>
    <w:multiLevelType w:val="multilevel"/>
    <w:tmpl w:val="78E67E0A"/>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14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abstractNum>
  <w:abstractNum w:abstractNumId="26" w15:restartNumberingAfterBreak="0">
    <w:nsid w:val="642D4BB6"/>
    <w:multiLevelType w:val="multilevel"/>
    <w:tmpl w:val="8D10248E"/>
    <w:lvl w:ilvl="0">
      <w:start w:val="1"/>
      <w:numFmt w:val="bullet"/>
      <w:lvlText w:val=""/>
      <w:lvlJc w:val="left"/>
      <w:pPr>
        <w:tabs>
          <w:tab w:val="num" w:pos="0"/>
        </w:tabs>
        <w:ind w:left="915" w:hanging="360"/>
      </w:pPr>
      <w:rPr>
        <w:rFonts w:ascii="Symbol" w:hAnsi="Symbol" w:cs="Symbol" w:hint="default"/>
      </w:rPr>
    </w:lvl>
    <w:lvl w:ilvl="1">
      <w:start w:val="1"/>
      <w:numFmt w:val="bullet"/>
      <w:lvlText w:val="o"/>
      <w:lvlJc w:val="left"/>
      <w:pPr>
        <w:tabs>
          <w:tab w:val="num" w:pos="0"/>
        </w:tabs>
        <w:ind w:left="1635" w:hanging="360"/>
      </w:pPr>
      <w:rPr>
        <w:rFonts w:ascii="Courier New" w:hAnsi="Courier New" w:cs="Courier New" w:hint="default"/>
      </w:rPr>
    </w:lvl>
    <w:lvl w:ilvl="2">
      <w:start w:val="1"/>
      <w:numFmt w:val="bullet"/>
      <w:lvlText w:val=""/>
      <w:lvlJc w:val="left"/>
      <w:pPr>
        <w:tabs>
          <w:tab w:val="num" w:pos="0"/>
        </w:tabs>
        <w:ind w:left="2355" w:hanging="360"/>
      </w:pPr>
      <w:rPr>
        <w:rFonts w:ascii="Wingdings" w:hAnsi="Wingdings" w:cs="Wingdings" w:hint="default"/>
      </w:rPr>
    </w:lvl>
    <w:lvl w:ilvl="3">
      <w:start w:val="1"/>
      <w:numFmt w:val="bullet"/>
      <w:lvlText w:val=""/>
      <w:lvlJc w:val="left"/>
      <w:pPr>
        <w:tabs>
          <w:tab w:val="num" w:pos="0"/>
        </w:tabs>
        <w:ind w:left="3075" w:hanging="360"/>
      </w:pPr>
      <w:rPr>
        <w:rFonts w:ascii="Symbol" w:hAnsi="Symbol" w:cs="Symbol" w:hint="default"/>
      </w:rPr>
    </w:lvl>
    <w:lvl w:ilvl="4">
      <w:start w:val="1"/>
      <w:numFmt w:val="bullet"/>
      <w:lvlText w:val="o"/>
      <w:lvlJc w:val="left"/>
      <w:pPr>
        <w:tabs>
          <w:tab w:val="num" w:pos="0"/>
        </w:tabs>
        <w:ind w:left="3795" w:hanging="360"/>
      </w:pPr>
      <w:rPr>
        <w:rFonts w:ascii="Courier New" w:hAnsi="Courier New" w:cs="Courier New" w:hint="default"/>
      </w:rPr>
    </w:lvl>
    <w:lvl w:ilvl="5">
      <w:start w:val="1"/>
      <w:numFmt w:val="bullet"/>
      <w:lvlText w:val=""/>
      <w:lvlJc w:val="left"/>
      <w:pPr>
        <w:tabs>
          <w:tab w:val="num" w:pos="0"/>
        </w:tabs>
        <w:ind w:left="4515" w:hanging="360"/>
      </w:pPr>
      <w:rPr>
        <w:rFonts w:ascii="Wingdings" w:hAnsi="Wingdings" w:cs="Wingdings" w:hint="default"/>
      </w:rPr>
    </w:lvl>
    <w:lvl w:ilvl="6">
      <w:start w:val="1"/>
      <w:numFmt w:val="bullet"/>
      <w:lvlText w:val=""/>
      <w:lvlJc w:val="left"/>
      <w:pPr>
        <w:tabs>
          <w:tab w:val="num" w:pos="0"/>
        </w:tabs>
        <w:ind w:left="5235" w:hanging="360"/>
      </w:pPr>
      <w:rPr>
        <w:rFonts w:ascii="Symbol" w:hAnsi="Symbol" w:cs="Symbol" w:hint="default"/>
      </w:rPr>
    </w:lvl>
    <w:lvl w:ilvl="7">
      <w:start w:val="1"/>
      <w:numFmt w:val="bullet"/>
      <w:lvlText w:val="o"/>
      <w:lvlJc w:val="left"/>
      <w:pPr>
        <w:tabs>
          <w:tab w:val="num" w:pos="0"/>
        </w:tabs>
        <w:ind w:left="5955" w:hanging="360"/>
      </w:pPr>
      <w:rPr>
        <w:rFonts w:ascii="Courier New" w:hAnsi="Courier New" w:cs="Courier New" w:hint="default"/>
      </w:rPr>
    </w:lvl>
    <w:lvl w:ilvl="8">
      <w:start w:val="1"/>
      <w:numFmt w:val="bullet"/>
      <w:lvlText w:val=""/>
      <w:lvlJc w:val="left"/>
      <w:pPr>
        <w:tabs>
          <w:tab w:val="num" w:pos="0"/>
        </w:tabs>
        <w:ind w:left="6675" w:hanging="360"/>
      </w:pPr>
      <w:rPr>
        <w:rFonts w:ascii="Wingdings" w:hAnsi="Wingdings" w:cs="Wingdings" w:hint="default"/>
      </w:rPr>
    </w:lvl>
  </w:abstractNum>
  <w:abstractNum w:abstractNumId="27" w15:restartNumberingAfterBreak="0">
    <w:nsid w:val="6BBC635B"/>
    <w:multiLevelType w:val="multilevel"/>
    <w:tmpl w:val="BC02293A"/>
    <w:lvl w:ilvl="0">
      <w:start w:val="1"/>
      <w:numFmt w:val="bullet"/>
      <w:lvlText w:val="●"/>
      <w:lvlJc w:val="left"/>
      <w:pPr>
        <w:tabs>
          <w:tab w:val="num" w:pos="0"/>
        </w:tabs>
        <w:ind w:left="705"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14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1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28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60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32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0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57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4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abstractNum>
  <w:abstractNum w:abstractNumId="28" w15:restartNumberingAfterBreak="0">
    <w:nsid w:val="73DD446B"/>
    <w:multiLevelType w:val="multilevel"/>
    <w:tmpl w:val="F866EC32"/>
    <w:lvl w:ilvl="0">
      <w:start w:val="1"/>
      <w:numFmt w:val="bullet"/>
      <w:lvlText w:val=""/>
      <w:lvlJc w:val="left"/>
      <w:pPr>
        <w:tabs>
          <w:tab w:val="num" w:pos="0"/>
        </w:tabs>
        <w:ind w:left="1808" w:hanging="360"/>
      </w:pPr>
      <w:rPr>
        <w:rFonts w:ascii="Symbol" w:hAnsi="Symbol" w:cs="Symbol" w:hint="default"/>
      </w:rPr>
    </w:lvl>
    <w:lvl w:ilvl="1">
      <w:start w:val="1"/>
      <w:numFmt w:val="bullet"/>
      <w:lvlText w:val="o"/>
      <w:lvlJc w:val="left"/>
      <w:pPr>
        <w:tabs>
          <w:tab w:val="num" w:pos="0"/>
        </w:tabs>
        <w:ind w:left="2528" w:hanging="360"/>
      </w:pPr>
      <w:rPr>
        <w:rFonts w:ascii="Courier New" w:hAnsi="Courier New" w:cs="Courier New" w:hint="default"/>
      </w:rPr>
    </w:lvl>
    <w:lvl w:ilvl="2">
      <w:start w:val="1"/>
      <w:numFmt w:val="bullet"/>
      <w:lvlText w:val=""/>
      <w:lvlJc w:val="left"/>
      <w:pPr>
        <w:tabs>
          <w:tab w:val="num" w:pos="0"/>
        </w:tabs>
        <w:ind w:left="3248" w:hanging="360"/>
      </w:pPr>
      <w:rPr>
        <w:rFonts w:ascii="Wingdings" w:hAnsi="Wingdings" w:cs="Wingdings" w:hint="default"/>
      </w:rPr>
    </w:lvl>
    <w:lvl w:ilvl="3">
      <w:start w:val="1"/>
      <w:numFmt w:val="bullet"/>
      <w:lvlText w:val=""/>
      <w:lvlJc w:val="left"/>
      <w:pPr>
        <w:tabs>
          <w:tab w:val="num" w:pos="0"/>
        </w:tabs>
        <w:ind w:left="3968" w:hanging="360"/>
      </w:pPr>
      <w:rPr>
        <w:rFonts w:ascii="Symbol" w:hAnsi="Symbol" w:cs="Symbol" w:hint="default"/>
      </w:rPr>
    </w:lvl>
    <w:lvl w:ilvl="4">
      <w:start w:val="1"/>
      <w:numFmt w:val="bullet"/>
      <w:lvlText w:val="o"/>
      <w:lvlJc w:val="left"/>
      <w:pPr>
        <w:tabs>
          <w:tab w:val="num" w:pos="0"/>
        </w:tabs>
        <w:ind w:left="4688" w:hanging="360"/>
      </w:pPr>
      <w:rPr>
        <w:rFonts w:ascii="Courier New" w:hAnsi="Courier New" w:cs="Courier New" w:hint="default"/>
      </w:rPr>
    </w:lvl>
    <w:lvl w:ilvl="5">
      <w:start w:val="1"/>
      <w:numFmt w:val="bullet"/>
      <w:lvlText w:val=""/>
      <w:lvlJc w:val="left"/>
      <w:pPr>
        <w:tabs>
          <w:tab w:val="num" w:pos="0"/>
        </w:tabs>
        <w:ind w:left="5408" w:hanging="360"/>
      </w:pPr>
      <w:rPr>
        <w:rFonts w:ascii="Wingdings" w:hAnsi="Wingdings" w:cs="Wingdings" w:hint="default"/>
      </w:rPr>
    </w:lvl>
    <w:lvl w:ilvl="6">
      <w:start w:val="1"/>
      <w:numFmt w:val="bullet"/>
      <w:lvlText w:val=""/>
      <w:lvlJc w:val="left"/>
      <w:pPr>
        <w:tabs>
          <w:tab w:val="num" w:pos="0"/>
        </w:tabs>
        <w:ind w:left="6128" w:hanging="360"/>
      </w:pPr>
      <w:rPr>
        <w:rFonts w:ascii="Symbol" w:hAnsi="Symbol" w:cs="Symbol" w:hint="default"/>
      </w:rPr>
    </w:lvl>
    <w:lvl w:ilvl="7">
      <w:start w:val="1"/>
      <w:numFmt w:val="bullet"/>
      <w:lvlText w:val="o"/>
      <w:lvlJc w:val="left"/>
      <w:pPr>
        <w:tabs>
          <w:tab w:val="num" w:pos="0"/>
        </w:tabs>
        <w:ind w:left="6848" w:hanging="360"/>
      </w:pPr>
      <w:rPr>
        <w:rFonts w:ascii="Courier New" w:hAnsi="Courier New" w:cs="Courier New" w:hint="default"/>
      </w:rPr>
    </w:lvl>
    <w:lvl w:ilvl="8">
      <w:start w:val="1"/>
      <w:numFmt w:val="bullet"/>
      <w:lvlText w:val=""/>
      <w:lvlJc w:val="left"/>
      <w:pPr>
        <w:tabs>
          <w:tab w:val="num" w:pos="0"/>
        </w:tabs>
        <w:ind w:left="7568" w:hanging="360"/>
      </w:pPr>
      <w:rPr>
        <w:rFonts w:ascii="Wingdings" w:hAnsi="Wingdings" w:cs="Wingdings" w:hint="default"/>
      </w:rPr>
    </w:lvl>
  </w:abstractNum>
  <w:abstractNum w:abstractNumId="29" w15:restartNumberingAfterBreak="0">
    <w:nsid w:val="78DD03CF"/>
    <w:multiLevelType w:val="multilevel"/>
    <w:tmpl w:val="A0B83770"/>
    <w:lvl w:ilvl="0">
      <w:numFmt w:val="bullet"/>
      <w:lvlText w:val="●"/>
      <w:lvlJc w:val="left"/>
      <w:pPr>
        <w:tabs>
          <w:tab w:val="num" w:pos="0"/>
        </w:tabs>
        <w:ind w:left="1160" w:hanging="360"/>
      </w:pPr>
      <w:rPr>
        <w:rFonts w:ascii="Times New Roman" w:hAnsi="Times New Roman" w:cs="Times New Roman" w:hint="default"/>
        <w:w w:val="100"/>
        <w:lang w:val="it-IT" w:eastAsia="en-US" w:bidi="ar-SA"/>
      </w:rPr>
    </w:lvl>
    <w:lvl w:ilvl="1">
      <w:numFmt w:val="bullet"/>
      <w:lvlText w:val=""/>
      <w:lvlJc w:val="left"/>
      <w:pPr>
        <w:tabs>
          <w:tab w:val="num" w:pos="0"/>
        </w:tabs>
        <w:ind w:left="2002" w:hanging="360"/>
      </w:pPr>
      <w:rPr>
        <w:rFonts w:ascii="Symbol" w:hAnsi="Symbol" w:cs="Symbol" w:hint="default"/>
        <w:lang w:val="it-IT" w:eastAsia="en-US" w:bidi="ar-SA"/>
      </w:rPr>
    </w:lvl>
    <w:lvl w:ilvl="2">
      <w:numFmt w:val="bullet"/>
      <w:lvlText w:val=""/>
      <w:lvlJc w:val="left"/>
      <w:pPr>
        <w:tabs>
          <w:tab w:val="num" w:pos="0"/>
        </w:tabs>
        <w:ind w:left="2845" w:hanging="360"/>
      </w:pPr>
      <w:rPr>
        <w:rFonts w:ascii="Symbol" w:hAnsi="Symbol" w:cs="Symbol" w:hint="default"/>
        <w:lang w:val="it-IT" w:eastAsia="en-US" w:bidi="ar-SA"/>
      </w:rPr>
    </w:lvl>
    <w:lvl w:ilvl="3">
      <w:numFmt w:val="bullet"/>
      <w:lvlText w:val=""/>
      <w:lvlJc w:val="left"/>
      <w:pPr>
        <w:tabs>
          <w:tab w:val="num" w:pos="0"/>
        </w:tabs>
        <w:ind w:left="3687" w:hanging="360"/>
      </w:pPr>
      <w:rPr>
        <w:rFonts w:ascii="Symbol" w:hAnsi="Symbol" w:cs="Symbol" w:hint="default"/>
        <w:lang w:val="it-IT" w:eastAsia="en-US" w:bidi="ar-SA"/>
      </w:rPr>
    </w:lvl>
    <w:lvl w:ilvl="4">
      <w:numFmt w:val="bullet"/>
      <w:lvlText w:val=""/>
      <w:lvlJc w:val="left"/>
      <w:pPr>
        <w:tabs>
          <w:tab w:val="num" w:pos="0"/>
        </w:tabs>
        <w:ind w:left="4530" w:hanging="360"/>
      </w:pPr>
      <w:rPr>
        <w:rFonts w:ascii="Symbol" w:hAnsi="Symbol" w:cs="Symbol" w:hint="default"/>
        <w:lang w:val="it-IT" w:eastAsia="en-US" w:bidi="ar-SA"/>
      </w:rPr>
    </w:lvl>
    <w:lvl w:ilvl="5">
      <w:numFmt w:val="bullet"/>
      <w:lvlText w:val=""/>
      <w:lvlJc w:val="left"/>
      <w:pPr>
        <w:tabs>
          <w:tab w:val="num" w:pos="0"/>
        </w:tabs>
        <w:ind w:left="5373" w:hanging="360"/>
      </w:pPr>
      <w:rPr>
        <w:rFonts w:ascii="Symbol" w:hAnsi="Symbol" w:cs="Symbol" w:hint="default"/>
        <w:lang w:val="it-IT" w:eastAsia="en-US" w:bidi="ar-SA"/>
      </w:rPr>
    </w:lvl>
    <w:lvl w:ilvl="6">
      <w:numFmt w:val="bullet"/>
      <w:lvlText w:val=""/>
      <w:lvlJc w:val="left"/>
      <w:pPr>
        <w:tabs>
          <w:tab w:val="num" w:pos="0"/>
        </w:tabs>
        <w:ind w:left="6215" w:hanging="360"/>
      </w:pPr>
      <w:rPr>
        <w:rFonts w:ascii="Symbol" w:hAnsi="Symbol" w:cs="Symbol" w:hint="default"/>
        <w:lang w:val="it-IT" w:eastAsia="en-US" w:bidi="ar-SA"/>
      </w:rPr>
    </w:lvl>
    <w:lvl w:ilvl="7">
      <w:numFmt w:val="bullet"/>
      <w:lvlText w:val=""/>
      <w:lvlJc w:val="left"/>
      <w:pPr>
        <w:tabs>
          <w:tab w:val="num" w:pos="0"/>
        </w:tabs>
        <w:ind w:left="7058" w:hanging="360"/>
      </w:pPr>
      <w:rPr>
        <w:rFonts w:ascii="Symbol" w:hAnsi="Symbol" w:cs="Symbol" w:hint="default"/>
        <w:lang w:val="it-IT" w:eastAsia="en-US" w:bidi="ar-SA"/>
      </w:rPr>
    </w:lvl>
    <w:lvl w:ilvl="8">
      <w:numFmt w:val="bullet"/>
      <w:lvlText w:val=""/>
      <w:lvlJc w:val="left"/>
      <w:pPr>
        <w:tabs>
          <w:tab w:val="num" w:pos="0"/>
        </w:tabs>
        <w:ind w:left="7901" w:hanging="360"/>
      </w:pPr>
      <w:rPr>
        <w:rFonts w:ascii="Symbol" w:hAnsi="Symbol" w:cs="Symbol" w:hint="default"/>
        <w:lang w:val="it-IT" w:eastAsia="en-US" w:bidi="ar-SA"/>
      </w:rPr>
    </w:lvl>
  </w:abstractNum>
  <w:abstractNum w:abstractNumId="30" w15:restartNumberingAfterBreak="0">
    <w:nsid w:val="7B6512E3"/>
    <w:multiLevelType w:val="multilevel"/>
    <w:tmpl w:val="8D4E728A"/>
    <w:lvl w:ilvl="0">
      <w:start w:val="1"/>
      <w:numFmt w:val="decimal"/>
      <w:lvlText w:val="%1."/>
      <w:lvlJc w:val="left"/>
      <w:pPr>
        <w:tabs>
          <w:tab w:val="num" w:pos="0"/>
        </w:tabs>
        <w:ind w:left="1160" w:hanging="360"/>
      </w:pPr>
      <w:rPr>
        <w:rFonts w:ascii="Calibri" w:eastAsia="Calibri" w:hAnsi="Calibri" w:cs="Calibri"/>
        <w:b w:val="0"/>
        <w:bCs w:val="0"/>
        <w:i w:val="0"/>
        <w:iCs w:val="0"/>
        <w:w w:val="100"/>
        <w:sz w:val="22"/>
        <w:szCs w:val="22"/>
        <w:lang w:val="it-IT" w:eastAsia="en-US" w:bidi="ar-SA"/>
      </w:rPr>
    </w:lvl>
    <w:lvl w:ilvl="1">
      <w:numFmt w:val="bullet"/>
      <w:lvlText w:val=""/>
      <w:lvlJc w:val="left"/>
      <w:pPr>
        <w:tabs>
          <w:tab w:val="num" w:pos="0"/>
        </w:tabs>
        <w:ind w:left="2002" w:hanging="360"/>
      </w:pPr>
      <w:rPr>
        <w:rFonts w:ascii="Symbol" w:hAnsi="Symbol" w:cs="Symbol" w:hint="default"/>
        <w:lang w:val="it-IT" w:eastAsia="en-US" w:bidi="ar-SA"/>
      </w:rPr>
    </w:lvl>
    <w:lvl w:ilvl="2">
      <w:numFmt w:val="bullet"/>
      <w:lvlText w:val=""/>
      <w:lvlJc w:val="left"/>
      <w:pPr>
        <w:tabs>
          <w:tab w:val="num" w:pos="0"/>
        </w:tabs>
        <w:ind w:left="2845" w:hanging="360"/>
      </w:pPr>
      <w:rPr>
        <w:rFonts w:ascii="Symbol" w:hAnsi="Symbol" w:cs="Symbol" w:hint="default"/>
        <w:lang w:val="it-IT" w:eastAsia="en-US" w:bidi="ar-SA"/>
      </w:rPr>
    </w:lvl>
    <w:lvl w:ilvl="3">
      <w:numFmt w:val="bullet"/>
      <w:lvlText w:val=""/>
      <w:lvlJc w:val="left"/>
      <w:pPr>
        <w:tabs>
          <w:tab w:val="num" w:pos="0"/>
        </w:tabs>
        <w:ind w:left="3687" w:hanging="360"/>
      </w:pPr>
      <w:rPr>
        <w:rFonts w:ascii="Symbol" w:hAnsi="Symbol" w:cs="Symbol" w:hint="default"/>
        <w:lang w:val="it-IT" w:eastAsia="en-US" w:bidi="ar-SA"/>
      </w:rPr>
    </w:lvl>
    <w:lvl w:ilvl="4">
      <w:numFmt w:val="bullet"/>
      <w:lvlText w:val=""/>
      <w:lvlJc w:val="left"/>
      <w:pPr>
        <w:tabs>
          <w:tab w:val="num" w:pos="0"/>
        </w:tabs>
        <w:ind w:left="4530" w:hanging="360"/>
      </w:pPr>
      <w:rPr>
        <w:rFonts w:ascii="Symbol" w:hAnsi="Symbol" w:cs="Symbol" w:hint="default"/>
        <w:lang w:val="it-IT" w:eastAsia="en-US" w:bidi="ar-SA"/>
      </w:rPr>
    </w:lvl>
    <w:lvl w:ilvl="5">
      <w:numFmt w:val="bullet"/>
      <w:lvlText w:val=""/>
      <w:lvlJc w:val="left"/>
      <w:pPr>
        <w:tabs>
          <w:tab w:val="num" w:pos="0"/>
        </w:tabs>
        <w:ind w:left="5373" w:hanging="360"/>
      </w:pPr>
      <w:rPr>
        <w:rFonts w:ascii="Symbol" w:hAnsi="Symbol" w:cs="Symbol" w:hint="default"/>
        <w:lang w:val="it-IT" w:eastAsia="en-US" w:bidi="ar-SA"/>
      </w:rPr>
    </w:lvl>
    <w:lvl w:ilvl="6">
      <w:numFmt w:val="bullet"/>
      <w:lvlText w:val=""/>
      <w:lvlJc w:val="left"/>
      <w:pPr>
        <w:tabs>
          <w:tab w:val="num" w:pos="0"/>
        </w:tabs>
        <w:ind w:left="6215" w:hanging="360"/>
      </w:pPr>
      <w:rPr>
        <w:rFonts w:ascii="Symbol" w:hAnsi="Symbol" w:cs="Symbol" w:hint="default"/>
        <w:lang w:val="it-IT" w:eastAsia="en-US" w:bidi="ar-SA"/>
      </w:rPr>
    </w:lvl>
    <w:lvl w:ilvl="7">
      <w:numFmt w:val="bullet"/>
      <w:lvlText w:val=""/>
      <w:lvlJc w:val="left"/>
      <w:pPr>
        <w:tabs>
          <w:tab w:val="num" w:pos="0"/>
        </w:tabs>
        <w:ind w:left="7058" w:hanging="360"/>
      </w:pPr>
      <w:rPr>
        <w:rFonts w:ascii="Symbol" w:hAnsi="Symbol" w:cs="Symbol" w:hint="default"/>
        <w:lang w:val="it-IT" w:eastAsia="en-US" w:bidi="ar-SA"/>
      </w:rPr>
    </w:lvl>
    <w:lvl w:ilvl="8">
      <w:numFmt w:val="bullet"/>
      <w:lvlText w:val=""/>
      <w:lvlJc w:val="left"/>
      <w:pPr>
        <w:tabs>
          <w:tab w:val="num" w:pos="0"/>
        </w:tabs>
        <w:ind w:left="7901" w:hanging="360"/>
      </w:pPr>
      <w:rPr>
        <w:rFonts w:ascii="Symbol" w:hAnsi="Symbol" w:cs="Symbol" w:hint="default"/>
        <w:lang w:val="it-IT" w:eastAsia="en-US" w:bidi="ar-SA"/>
      </w:rPr>
    </w:lvl>
  </w:abstractNum>
  <w:abstractNum w:abstractNumId="31" w15:restartNumberingAfterBreak="0">
    <w:nsid w:val="7C5B0A82"/>
    <w:multiLevelType w:val="multilevel"/>
    <w:tmpl w:val="9500B9A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2" w15:restartNumberingAfterBreak="0">
    <w:nsid w:val="7D8417FA"/>
    <w:multiLevelType w:val="multilevel"/>
    <w:tmpl w:val="E9201A86"/>
    <w:lvl w:ilvl="0">
      <w:numFmt w:val="bullet"/>
      <w:lvlText w:val="●"/>
      <w:lvlJc w:val="left"/>
      <w:pPr>
        <w:tabs>
          <w:tab w:val="num" w:pos="0"/>
        </w:tabs>
        <w:ind w:left="1160" w:hanging="360"/>
      </w:pPr>
      <w:rPr>
        <w:rFonts w:ascii="Verdana" w:hAnsi="Verdana" w:cs="Verdana" w:hint="default"/>
        <w:b w:val="0"/>
        <w:bCs w:val="0"/>
        <w:i w:val="0"/>
        <w:iCs w:val="0"/>
        <w:w w:val="100"/>
        <w:sz w:val="22"/>
        <w:szCs w:val="22"/>
        <w:lang w:val="it-IT" w:eastAsia="en-US" w:bidi="ar-SA"/>
      </w:rPr>
    </w:lvl>
    <w:lvl w:ilvl="1">
      <w:numFmt w:val="bullet"/>
      <w:lvlText w:val=""/>
      <w:lvlJc w:val="left"/>
      <w:pPr>
        <w:tabs>
          <w:tab w:val="num" w:pos="0"/>
        </w:tabs>
        <w:ind w:left="2002" w:hanging="360"/>
      </w:pPr>
      <w:rPr>
        <w:rFonts w:ascii="Symbol" w:hAnsi="Symbol" w:cs="Symbol" w:hint="default"/>
        <w:lang w:val="it-IT" w:eastAsia="en-US" w:bidi="ar-SA"/>
      </w:rPr>
    </w:lvl>
    <w:lvl w:ilvl="2">
      <w:numFmt w:val="bullet"/>
      <w:lvlText w:val=""/>
      <w:lvlJc w:val="left"/>
      <w:pPr>
        <w:tabs>
          <w:tab w:val="num" w:pos="0"/>
        </w:tabs>
        <w:ind w:left="2845" w:hanging="360"/>
      </w:pPr>
      <w:rPr>
        <w:rFonts w:ascii="Symbol" w:hAnsi="Symbol" w:cs="Symbol" w:hint="default"/>
        <w:lang w:val="it-IT" w:eastAsia="en-US" w:bidi="ar-SA"/>
      </w:rPr>
    </w:lvl>
    <w:lvl w:ilvl="3">
      <w:numFmt w:val="bullet"/>
      <w:lvlText w:val=""/>
      <w:lvlJc w:val="left"/>
      <w:pPr>
        <w:tabs>
          <w:tab w:val="num" w:pos="0"/>
        </w:tabs>
        <w:ind w:left="3687" w:hanging="360"/>
      </w:pPr>
      <w:rPr>
        <w:rFonts w:ascii="Symbol" w:hAnsi="Symbol" w:cs="Symbol" w:hint="default"/>
        <w:lang w:val="it-IT" w:eastAsia="en-US" w:bidi="ar-SA"/>
      </w:rPr>
    </w:lvl>
    <w:lvl w:ilvl="4">
      <w:numFmt w:val="bullet"/>
      <w:lvlText w:val=""/>
      <w:lvlJc w:val="left"/>
      <w:pPr>
        <w:tabs>
          <w:tab w:val="num" w:pos="0"/>
        </w:tabs>
        <w:ind w:left="4530" w:hanging="360"/>
      </w:pPr>
      <w:rPr>
        <w:rFonts w:ascii="Symbol" w:hAnsi="Symbol" w:cs="Symbol" w:hint="default"/>
        <w:lang w:val="it-IT" w:eastAsia="en-US" w:bidi="ar-SA"/>
      </w:rPr>
    </w:lvl>
    <w:lvl w:ilvl="5">
      <w:numFmt w:val="bullet"/>
      <w:lvlText w:val=""/>
      <w:lvlJc w:val="left"/>
      <w:pPr>
        <w:tabs>
          <w:tab w:val="num" w:pos="0"/>
        </w:tabs>
        <w:ind w:left="5373" w:hanging="360"/>
      </w:pPr>
      <w:rPr>
        <w:rFonts w:ascii="Symbol" w:hAnsi="Symbol" w:cs="Symbol" w:hint="default"/>
        <w:lang w:val="it-IT" w:eastAsia="en-US" w:bidi="ar-SA"/>
      </w:rPr>
    </w:lvl>
    <w:lvl w:ilvl="6">
      <w:numFmt w:val="bullet"/>
      <w:lvlText w:val=""/>
      <w:lvlJc w:val="left"/>
      <w:pPr>
        <w:tabs>
          <w:tab w:val="num" w:pos="0"/>
        </w:tabs>
        <w:ind w:left="6215" w:hanging="360"/>
      </w:pPr>
      <w:rPr>
        <w:rFonts w:ascii="Symbol" w:hAnsi="Symbol" w:cs="Symbol" w:hint="default"/>
        <w:lang w:val="it-IT" w:eastAsia="en-US" w:bidi="ar-SA"/>
      </w:rPr>
    </w:lvl>
    <w:lvl w:ilvl="7">
      <w:numFmt w:val="bullet"/>
      <w:lvlText w:val=""/>
      <w:lvlJc w:val="left"/>
      <w:pPr>
        <w:tabs>
          <w:tab w:val="num" w:pos="0"/>
        </w:tabs>
        <w:ind w:left="7058" w:hanging="360"/>
      </w:pPr>
      <w:rPr>
        <w:rFonts w:ascii="Symbol" w:hAnsi="Symbol" w:cs="Symbol" w:hint="default"/>
        <w:lang w:val="it-IT" w:eastAsia="en-US" w:bidi="ar-SA"/>
      </w:rPr>
    </w:lvl>
    <w:lvl w:ilvl="8">
      <w:numFmt w:val="bullet"/>
      <w:lvlText w:val=""/>
      <w:lvlJc w:val="left"/>
      <w:pPr>
        <w:tabs>
          <w:tab w:val="num" w:pos="0"/>
        </w:tabs>
        <w:ind w:left="7901" w:hanging="360"/>
      </w:pPr>
      <w:rPr>
        <w:rFonts w:ascii="Symbol" w:hAnsi="Symbol" w:cs="Symbol" w:hint="default"/>
        <w:lang w:val="it-IT" w:eastAsia="en-US" w:bidi="ar-SA"/>
      </w:rPr>
    </w:lvl>
  </w:abstractNum>
  <w:abstractNum w:abstractNumId="33" w15:restartNumberingAfterBreak="0">
    <w:nsid w:val="7E8054EF"/>
    <w:multiLevelType w:val="multilevel"/>
    <w:tmpl w:val="5B7286BC"/>
    <w:lvl w:ilvl="0">
      <w:start w:val="1"/>
      <w:numFmt w:val="decimal"/>
      <w:lvlText w:val="A.%1"/>
      <w:lvlJc w:val="left"/>
      <w:pPr>
        <w:tabs>
          <w:tab w:val="num" w:pos="0"/>
        </w:tabs>
        <w:ind w:left="862" w:hanging="360"/>
      </w:p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34" w15:restartNumberingAfterBreak="0">
    <w:nsid w:val="7F3A34D3"/>
    <w:multiLevelType w:val="multilevel"/>
    <w:tmpl w:val="7584EA1A"/>
    <w:lvl w:ilvl="0">
      <w:start w:val="1"/>
      <w:numFmt w:val="bullet"/>
      <w:lvlText w:val="●"/>
      <w:lvlJc w:val="left"/>
      <w:pPr>
        <w:tabs>
          <w:tab w:val="num" w:pos="0"/>
        </w:tabs>
        <w:ind w:left="10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1">
      <w:start w:val="1"/>
      <w:numFmt w:val="bullet"/>
      <w:lvlText w:val="o"/>
      <w:lvlJc w:val="left"/>
      <w:pPr>
        <w:tabs>
          <w:tab w:val="num" w:pos="0"/>
        </w:tabs>
        <w:ind w:left="180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2">
      <w:start w:val="1"/>
      <w:numFmt w:val="bullet"/>
      <w:lvlText w:val="▪"/>
      <w:lvlJc w:val="left"/>
      <w:pPr>
        <w:tabs>
          <w:tab w:val="num" w:pos="0"/>
        </w:tabs>
        <w:ind w:left="252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3">
      <w:start w:val="1"/>
      <w:numFmt w:val="bullet"/>
      <w:lvlText w:val="•"/>
      <w:lvlJc w:val="left"/>
      <w:pPr>
        <w:tabs>
          <w:tab w:val="num" w:pos="0"/>
        </w:tabs>
        <w:ind w:left="32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4">
      <w:start w:val="1"/>
      <w:numFmt w:val="bullet"/>
      <w:lvlText w:val="o"/>
      <w:lvlJc w:val="left"/>
      <w:pPr>
        <w:tabs>
          <w:tab w:val="num" w:pos="0"/>
        </w:tabs>
        <w:ind w:left="396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5">
      <w:start w:val="1"/>
      <w:numFmt w:val="bullet"/>
      <w:lvlText w:val="▪"/>
      <w:lvlJc w:val="left"/>
      <w:pPr>
        <w:tabs>
          <w:tab w:val="num" w:pos="0"/>
        </w:tabs>
        <w:ind w:left="468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6">
      <w:start w:val="1"/>
      <w:numFmt w:val="bullet"/>
      <w:lvlText w:val="•"/>
      <w:lvlJc w:val="left"/>
      <w:pPr>
        <w:tabs>
          <w:tab w:val="num" w:pos="0"/>
        </w:tabs>
        <w:ind w:left="540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7">
      <w:start w:val="1"/>
      <w:numFmt w:val="bullet"/>
      <w:lvlText w:val="o"/>
      <w:lvlJc w:val="left"/>
      <w:pPr>
        <w:tabs>
          <w:tab w:val="num" w:pos="0"/>
        </w:tabs>
        <w:ind w:left="612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lvl w:ilvl="8">
      <w:start w:val="1"/>
      <w:numFmt w:val="bullet"/>
      <w:lvlText w:val="▪"/>
      <w:lvlJc w:val="left"/>
      <w:pPr>
        <w:tabs>
          <w:tab w:val="num" w:pos="0"/>
        </w:tabs>
        <w:ind w:left="6840" w:firstLine="0"/>
      </w:pPr>
      <w:rPr>
        <w:rFonts w:ascii="Times New Roman" w:hAnsi="Times New Roman" w:cs="Times New Roman" w:hint="default"/>
        <w:b w:val="0"/>
        <w:i w:val="0"/>
        <w:strike w:val="0"/>
        <w:dstrike w:val="0"/>
        <w:color w:val="000000"/>
        <w:position w:val="0"/>
        <w:sz w:val="20"/>
        <w:szCs w:val="20"/>
        <w:u w:val="none" w:color="000000"/>
        <w:shd w:val="clear" w:color="auto" w:fill="auto"/>
        <w:vertAlign w:val="baseline"/>
      </w:rPr>
    </w:lvl>
  </w:abstractNum>
  <w:num w:numId="1" w16cid:durableId="402024263">
    <w:abstractNumId w:val="17"/>
  </w:num>
  <w:num w:numId="2" w16cid:durableId="443114134">
    <w:abstractNumId w:val="6"/>
  </w:num>
  <w:num w:numId="3" w16cid:durableId="492724457">
    <w:abstractNumId w:val="21"/>
  </w:num>
  <w:num w:numId="4" w16cid:durableId="711921737">
    <w:abstractNumId w:val="19"/>
  </w:num>
  <w:num w:numId="5" w16cid:durableId="1332877068">
    <w:abstractNumId w:val="4"/>
  </w:num>
  <w:num w:numId="6" w16cid:durableId="591620171">
    <w:abstractNumId w:val="0"/>
  </w:num>
  <w:num w:numId="7" w16cid:durableId="1967616337">
    <w:abstractNumId w:val="20"/>
  </w:num>
  <w:num w:numId="8" w16cid:durableId="379791936">
    <w:abstractNumId w:val="29"/>
  </w:num>
  <w:num w:numId="9" w16cid:durableId="1724670804">
    <w:abstractNumId w:val="30"/>
  </w:num>
  <w:num w:numId="10" w16cid:durableId="223179484">
    <w:abstractNumId w:val="32"/>
  </w:num>
  <w:num w:numId="11" w16cid:durableId="305816017">
    <w:abstractNumId w:val="14"/>
  </w:num>
  <w:num w:numId="12" w16cid:durableId="692998318">
    <w:abstractNumId w:val="11"/>
  </w:num>
  <w:num w:numId="13" w16cid:durableId="1944612501">
    <w:abstractNumId w:val="10"/>
  </w:num>
  <w:num w:numId="14" w16cid:durableId="1278026208">
    <w:abstractNumId w:val="5"/>
  </w:num>
  <w:num w:numId="15" w16cid:durableId="1466852258">
    <w:abstractNumId w:val="1"/>
  </w:num>
  <w:num w:numId="16" w16cid:durableId="995498758">
    <w:abstractNumId w:val="9"/>
  </w:num>
  <w:num w:numId="17" w16cid:durableId="1688210272">
    <w:abstractNumId w:val="25"/>
  </w:num>
  <w:num w:numId="18" w16cid:durableId="1117026189">
    <w:abstractNumId w:val="2"/>
  </w:num>
  <w:num w:numId="19" w16cid:durableId="536505298">
    <w:abstractNumId w:val="15"/>
  </w:num>
  <w:num w:numId="20" w16cid:durableId="1202589854">
    <w:abstractNumId w:val="27"/>
  </w:num>
  <w:num w:numId="21" w16cid:durableId="2030642541">
    <w:abstractNumId w:val="22"/>
  </w:num>
  <w:num w:numId="22" w16cid:durableId="1350642239">
    <w:abstractNumId w:val="34"/>
  </w:num>
  <w:num w:numId="23" w16cid:durableId="1810857194">
    <w:abstractNumId w:val="3"/>
  </w:num>
  <w:num w:numId="24" w16cid:durableId="983197162">
    <w:abstractNumId w:val="26"/>
  </w:num>
  <w:num w:numId="25" w16cid:durableId="1058431324">
    <w:abstractNumId w:val="12"/>
  </w:num>
  <w:num w:numId="26" w16cid:durableId="2001423034">
    <w:abstractNumId w:val="23"/>
  </w:num>
  <w:num w:numId="27" w16cid:durableId="356657536">
    <w:abstractNumId w:val="31"/>
  </w:num>
  <w:num w:numId="28" w16cid:durableId="887567708">
    <w:abstractNumId w:val="13"/>
  </w:num>
  <w:num w:numId="29" w16cid:durableId="1808426652">
    <w:abstractNumId w:val="18"/>
  </w:num>
  <w:num w:numId="30" w16cid:durableId="1094863226">
    <w:abstractNumId w:val="8"/>
  </w:num>
  <w:num w:numId="31" w16cid:durableId="501972972">
    <w:abstractNumId w:val="28"/>
  </w:num>
  <w:num w:numId="32" w16cid:durableId="310715234">
    <w:abstractNumId w:val="24"/>
  </w:num>
  <w:num w:numId="33" w16cid:durableId="429669074">
    <w:abstractNumId w:val="33"/>
  </w:num>
  <w:num w:numId="34" w16cid:durableId="1827433206">
    <w:abstractNumId w:val="16"/>
  </w:num>
  <w:num w:numId="35" w16cid:durableId="6467414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37"/>
    <w:rsid w:val="000025BE"/>
    <w:rsid w:val="000706D8"/>
    <w:rsid w:val="00091D3A"/>
    <w:rsid w:val="000B23E0"/>
    <w:rsid w:val="00101354"/>
    <w:rsid w:val="0014034E"/>
    <w:rsid w:val="00150AFE"/>
    <w:rsid w:val="00173CED"/>
    <w:rsid w:val="00191D05"/>
    <w:rsid w:val="001E0390"/>
    <w:rsid w:val="00204E95"/>
    <w:rsid w:val="002C3F9E"/>
    <w:rsid w:val="00311D9F"/>
    <w:rsid w:val="00322365"/>
    <w:rsid w:val="00337938"/>
    <w:rsid w:val="00390427"/>
    <w:rsid w:val="003D671E"/>
    <w:rsid w:val="00462A03"/>
    <w:rsid w:val="00573A79"/>
    <w:rsid w:val="00581A82"/>
    <w:rsid w:val="005A1D7B"/>
    <w:rsid w:val="00601372"/>
    <w:rsid w:val="00651120"/>
    <w:rsid w:val="0068068C"/>
    <w:rsid w:val="0069061F"/>
    <w:rsid w:val="006D2AD4"/>
    <w:rsid w:val="007249C2"/>
    <w:rsid w:val="0072739A"/>
    <w:rsid w:val="007457F1"/>
    <w:rsid w:val="007D7741"/>
    <w:rsid w:val="00861ADA"/>
    <w:rsid w:val="00863A4B"/>
    <w:rsid w:val="00892AAD"/>
    <w:rsid w:val="008B3E59"/>
    <w:rsid w:val="008B70AA"/>
    <w:rsid w:val="008D0DCB"/>
    <w:rsid w:val="0094569B"/>
    <w:rsid w:val="00991435"/>
    <w:rsid w:val="00A01BF6"/>
    <w:rsid w:val="00A5055D"/>
    <w:rsid w:val="00A51B5D"/>
    <w:rsid w:val="00A80348"/>
    <w:rsid w:val="00A83FD1"/>
    <w:rsid w:val="00AA6AB0"/>
    <w:rsid w:val="00B5408D"/>
    <w:rsid w:val="00B55664"/>
    <w:rsid w:val="00C77C37"/>
    <w:rsid w:val="00C92676"/>
    <w:rsid w:val="00DA55C6"/>
    <w:rsid w:val="00DD61E3"/>
    <w:rsid w:val="00DF2DD9"/>
    <w:rsid w:val="00E169C5"/>
    <w:rsid w:val="00E20746"/>
    <w:rsid w:val="00E67AFA"/>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D5538"/>
  <w15:docId w15:val="{3B352DBA-51D6-4994-9E0D-7DA66D0FC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F57E3"/>
    <w:pPr>
      <w:spacing w:before="144" w:after="144" w:line="360" w:lineRule="auto"/>
      <w:ind w:left="142" w:right="139"/>
      <w:jc w:val="both"/>
    </w:pPr>
  </w:style>
  <w:style w:type="paragraph" w:styleId="Titolo1">
    <w:name w:val="heading 1"/>
    <w:basedOn w:val="Normale"/>
    <w:next w:val="Normale"/>
    <w:link w:val="Titolo1Carattere"/>
    <w:uiPriority w:val="9"/>
    <w:qFormat/>
    <w:rsid w:val="00801970"/>
    <w:pPr>
      <w:keepNext/>
      <w:keepLines/>
      <w:outlineLvl w:val="0"/>
    </w:pPr>
    <w:rPr>
      <w:rFonts w:asciiTheme="majorHAnsi" w:eastAsiaTheme="majorEastAsia" w:hAnsiTheme="majorHAnsi" w:cstheme="majorBidi"/>
      <w:b/>
      <w:bCs/>
      <w:color w:val="2F5496" w:themeColor="accent1" w:themeShade="BF"/>
      <w:sz w:val="36"/>
      <w:szCs w:val="32"/>
      <w:u w:val="single"/>
    </w:rPr>
  </w:style>
  <w:style w:type="paragraph" w:styleId="Titolo2">
    <w:name w:val="heading 2"/>
    <w:basedOn w:val="Titolo1"/>
    <w:next w:val="Normale"/>
    <w:link w:val="Titolo2Carattere"/>
    <w:uiPriority w:val="9"/>
    <w:unhideWhenUsed/>
    <w:qFormat/>
    <w:rsid w:val="00801970"/>
    <w:pPr>
      <w:spacing w:before="0" w:line="240" w:lineRule="auto"/>
      <w:outlineLvl w:val="1"/>
    </w:pPr>
    <w:rPr>
      <w:rFonts w:eastAsia="Calibri" w:cstheme="majorHAnsi"/>
      <w:b w:val="0"/>
      <w:bCs w:val="0"/>
      <w:color w:val="4472C4" w:themeColor="accent1"/>
      <w:sz w:val="32"/>
      <w:szCs w:val="28"/>
      <w:u w:val="none"/>
    </w:rPr>
  </w:style>
  <w:style w:type="paragraph" w:styleId="Titolo3">
    <w:name w:val="heading 3"/>
    <w:basedOn w:val="Titolo2"/>
    <w:next w:val="Normale"/>
    <w:link w:val="Titolo3Carattere"/>
    <w:uiPriority w:val="9"/>
    <w:unhideWhenUsed/>
    <w:qFormat/>
    <w:rsid w:val="00713DDB"/>
    <w:pPr>
      <w:outlineLvl w:val="2"/>
    </w:pPr>
    <w:rPr>
      <w:sz w:val="28"/>
    </w:rPr>
  </w:style>
  <w:style w:type="paragraph" w:styleId="Titolo4">
    <w:name w:val="heading 4"/>
    <w:basedOn w:val="Titolo3"/>
    <w:next w:val="Normale"/>
    <w:link w:val="Titolo4Carattere"/>
    <w:uiPriority w:val="9"/>
    <w:unhideWhenUsed/>
    <w:qFormat/>
    <w:rsid w:val="005854D7"/>
    <w:pPr>
      <w:tabs>
        <w:tab w:val="left" w:pos="2273"/>
      </w:tabs>
      <w:spacing w:before="720" w:after="600"/>
      <w:ind w:left="113" w:right="142"/>
      <w:jc w:val="left"/>
      <w:outlineLvl w:val="3"/>
    </w:pPr>
    <w:rPr>
      <w:lang w:eastAsia="en-GB"/>
    </w:rPr>
  </w:style>
  <w:style w:type="paragraph" w:styleId="Titolo5">
    <w:name w:val="heading 5"/>
    <w:basedOn w:val="Titolo4"/>
    <w:next w:val="Normale"/>
    <w:link w:val="Titolo5Carattere"/>
    <w:uiPriority w:val="9"/>
    <w:unhideWhenUsed/>
    <w:qFormat/>
    <w:rsid w:val="00153207"/>
    <w:pPr>
      <w:outlineLvl w:val="4"/>
    </w:pPr>
    <w:rPr>
      <w:i/>
      <w:iCs/>
    </w:rPr>
  </w:style>
  <w:style w:type="paragraph" w:styleId="Titolo6">
    <w:name w:val="heading 6"/>
    <w:basedOn w:val="Normale"/>
    <w:next w:val="Normale"/>
    <w:link w:val="Titolo6Carattere"/>
    <w:uiPriority w:val="9"/>
    <w:unhideWhenUsed/>
    <w:qFormat/>
    <w:rsid w:val="00305DF7"/>
    <w:pPr>
      <w:keepNext/>
      <w:keepLines/>
      <w:spacing w:before="200" w:after="40"/>
      <w:outlineLvl w:val="5"/>
    </w:pPr>
    <w:rPr>
      <w:rFonts w:ascii="Calibri" w:eastAsia="Calibri" w:hAnsi="Calibri" w:cs="Calibri"/>
      <w:b/>
      <w:sz w:val="20"/>
      <w:szCs w:val="20"/>
      <w:lang w:eastAsia="it-IT"/>
    </w:rPr>
  </w:style>
  <w:style w:type="paragraph" w:styleId="Titolo7">
    <w:name w:val="heading 7"/>
    <w:basedOn w:val="Normale"/>
    <w:link w:val="Titolo7Carattere"/>
    <w:uiPriority w:val="1"/>
    <w:qFormat/>
    <w:rsid w:val="009B1BBC"/>
    <w:pPr>
      <w:spacing w:before="0" w:after="0" w:line="240" w:lineRule="auto"/>
      <w:ind w:left="0" w:right="0"/>
      <w:jc w:val="center"/>
      <w:outlineLvl w:val="6"/>
    </w:pPr>
    <w:rPr>
      <w:rFonts w:ascii="Calibri" w:eastAsia="Times New Roman" w:hAnsi="Calibri" w:cs="Calibri"/>
      <w:b/>
      <w:bCs/>
      <w:color w:val="203764"/>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801970"/>
    <w:rPr>
      <w:rFonts w:asciiTheme="majorHAnsi" w:eastAsiaTheme="majorEastAsia" w:hAnsiTheme="majorHAnsi" w:cstheme="majorBidi"/>
      <w:b/>
      <w:bCs/>
      <w:color w:val="2F5496" w:themeColor="accent1" w:themeShade="BF"/>
      <w:sz w:val="36"/>
      <w:szCs w:val="32"/>
      <w:u w:val="single"/>
    </w:rPr>
  </w:style>
  <w:style w:type="character" w:customStyle="1" w:styleId="Titolo2Carattere">
    <w:name w:val="Titolo 2 Carattere"/>
    <w:basedOn w:val="Carpredefinitoparagrafo"/>
    <w:link w:val="Titolo2"/>
    <w:uiPriority w:val="9"/>
    <w:qFormat/>
    <w:rsid w:val="00801970"/>
    <w:rPr>
      <w:rFonts w:asciiTheme="majorHAnsi" w:eastAsia="Calibri" w:hAnsiTheme="majorHAnsi" w:cstheme="majorHAnsi"/>
      <w:color w:val="4472C4" w:themeColor="accent1"/>
      <w:sz w:val="32"/>
      <w:szCs w:val="28"/>
    </w:rPr>
  </w:style>
  <w:style w:type="character" w:customStyle="1" w:styleId="Titolo3Carattere">
    <w:name w:val="Titolo 3 Carattere"/>
    <w:basedOn w:val="Carpredefinitoparagrafo"/>
    <w:link w:val="Titolo3"/>
    <w:uiPriority w:val="9"/>
    <w:qFormat/>
    <w:rsid w:val="00713DDB"/>
    <w:rPr>
      <w:rFonts w:asciiTheme="majorHAnsi" w:eastAsia="Calibri" w:hAnsiTheme="majorHAnsi" w:cstheme="majorHAnsi"/>
      <w:color w:val="4472C4" w:themeColor="accent1"/>
      <w:sz w:val="28"/>
      <w:szCs w:val="28"/>
    </w:rPr>
  </w:style>
  <w:style w:type="character" w:customStyle="1" w:styleId="Titolo4Carattere">
    <w:name w:val="Titolo 4 Carattere"/>
    <w:basedOn w:val="Carpredefinitoparagrafo"/>
    <w:link w:val="Titolo4"/>
    <w:uiPriority w:val="9"/>
    <w:qFormat/>
    <w:rsid w:val="005854D7"/>
    <w:rPr>
      <w:rFonts w:asciiTheme="majorHAnsi" w:eastAsia="Calibri" w:hAnsiTheme="majorHAnsi" w:cstheme="majorHAnsi"/>
      <w:color w:val="4472C4" w:themeColor="accent1"/>
      <w:sz w:val="28"/>
      <w:szCs w:val="28"/>
      <w:lang w:eastAsia="en-GB"/>
    </w:rPr>
  </w:style>
  <w:style w:type="character" w:styleId="Collegamentoipertestuale">
    <w:name w:val="Hyperlink"/>
    <w:basedOn w:val="Carpredefinitoparagrafo"/>
    <w:uiPriority w:val="99"/>
    <w:unhideWhenUsed/>
    <w:rPr>
      <w:color w:val="0563C1" w:themeColor="hyperlink"/>
      <w:u w:val="single"/>
    </w:rPr>
  </w:style>
  <w:style w:type="character" w:customStyle="1" w:styleId="Titolo5Carattere">
    <w:name w:val="Titolo 5 Carattere"/>
    <w:basedOn w:val="Carpredefinitoparagrafo"/>
    <w:link w:val="Titolo5"/>
    <w:uiPriority w:val="9"/>
    <w:qFormat/>
    <w:rsid w:val="00153207"/>
    <w:rPr>
      <w:rFonts w:asciiTheme="majorHAnsi" w:eastAsia="Calibri" w:hAnsiTheme="majorHAnsi" w:cstheme="majorHAnsi"/>
      <w:i/>
      <w:iCs/>
      <w:color w:val="4472C4" w:themeColor="accent1"/>
      <w:sz w:val="28"/>
      <w:szCs w:val="28"/>
    </w:rPr>
  </w:style>
  <w:style w:type="character" w:customStyle="1" w:styleId="Titolo6Carattere">
    <w:name w:val="Titolo 6 Carattere"/>
    <w:basedOn w:val="Carpredefinitoparagrafo"/>
    <w:link w:val="Titolo6"/>
    <w:uiPriority w:val="9"/>
    <w:semiHidden/>
    <w:qFormat/>
    <w:rsid w:val="00305DF7"/>
    <w:rPr>
      <w:rFonts w:ascii="Calibri" w:eastAsia="Calibri" w:hAnsi="Calibri" w:cs="Calibri"/>
      <w:b/>
      <w:sz w:val="20"/>
      <w:szCs w:val="20"/>
      <w:lang w:eastAsia="it-IT"/>
    </w:rPr>
  </w:style>
  <w:style w:type="character" w:customStyle="1" w:styleId="TitoloCarattere">
    <w:name w:val="Titolo Carattere"/>
    <w:basedOn w:val="Carpredefinitoparagrafo"/>
    <w:link w:val="Titolo"/>
    <w:uiPriority w:val="10"/>
    <w:qFormat/>
    <w:rsid w:val="00305DF7"/>
    <w:rPr>
      <w:rFonts w:ascii="Calibri" w:eastAsia="Calibri" w:hAnsi="Calibri" w:cs="Calibri"/>
      <w:b/>
      <w:sz w:val="72"/>
      <w:szCs w:val="72"/>
      <w:lang w:eastAsia="it-IT"/>
    </w:rPr>
  </w:style>
  <w:style w:type="character" w:customStyle="1" w:styleId="SottotitoloCarattere">
    <w:name w:val="Sottotitolo Carattere"/>
    <w:basedOn w:val="Carpredefinitoparagrafo"/>
    <w:link w:val="Sottotitolo"/>
    <w:uiPriority w:val="11"/>
    <w:qFormat/>
    <w:rsid w:val="00305DF7"/>
    <w:rPr>
      <w:rFonts w:ascii="Georgia" w:eastAsia="Georgia" w:hAnsi="Georgia" w:cs="Georgia"/>
      <w:i/>
      <w:color w:val="666666"/>
      <w:sz w:val="48"/>
      <w:szCs w:val="48"/>
      <w:lang w:eastAsia="it-IT"/>
    </w:rPr>
  </w:style>
  <w:style w:type="character" w:customStyle="1" w:styleId="TestocommentoCarattere">
    <w:name w:val="Testo commento Carattere"/>
    <w:basedOn w:val="Carpredefinitoparagrafo"/>
    <w:link w:val="Testocommento"/>
    <w:uiPriority w:val="99"/>
    <w:semiHidden/>
    <w:qFormat/>
    <w:rsid w:val="00305DF7"/>
    <w:rPr>
      <w:rFonts w:ascii="Times New Roman" w:eastAsia="Times New Roman" w:hAnsi="Times New Roman" w:cs="Times New Roman"/>
      <w:sz w:val="20"/>
      <w:szCs w:val="20"/>
      <w:lang w:eastAsia="it-IT"/>
    </w:rPr>
  </w:style>
  <w:style w:type="character" w:customStyle="1" w:styleId="IntestazioneCarattere">
    <w:name w:val="Intestazione Carattere"/>
    <w:basedOn w:val="Carpredefinitoparagrafo"/>
    <w:link w:val="Intestazione"/>
    <w:uiPriority w:val="99"/>
    <w:qFormat/>
    <w:rsid w:val="00E62E4A"/>
  </w:style>
  <w:style w:type="character" w:customStyle="1" w:styleId="PidipaginaCarattere">
    <w:name w:val="Piè di pagina Carattere"/>
    <w:basedOn w:val="Carpredefinitoparagrafo"/>
    <w:link w:val="Pidipagina"/>
    <w:uiPriority w:val="99"/>
    <w:qFormat/>
    <w:rsid w:val="00E62E4A"/>
  </w:style>
  <w:style w:type="character" w:styleId="Rimandocommento">
    <w:name w:val="annotation reference"/>
    <w:basedOn w:val="Carpredefinitoparagrafo"/>
    <w:uiPriority w:val="99"/>
    <w:semiHidden/>
    <w:unhideWhenUsed/>
    <w:qFormat/>
    <w:rPr>
      <w:sz w:val="16"/>
      <w:szCs w:val="16"/>
    </w:rPr>
  </w:style>
  <w:style w:type="character" w:customStyle="1" w:styleId="TestofumettoCarattere">
    <w:name w:val="Testo fumetto Carattere"/>
    <w:basedOn w:val="Carpredefinitoparagrafo"/>
    <w:link w:val="Testofumetto"/>
    <w:uiPriority w:val="99"/>
    <w:semiHidden/>
    <w:qFormat/>
    <w:rsid w:val="00CC03A3"/>
    <w:rPr>
      <w:rFonts w:ascii="Segoe UI" w:hAnsi="Segoe UI" w:cs="Segoe UI"/>
      <w:sz w:val="18"/>
      <w:szCs w:val="18"/>
    </w:rPr>
  </w:style>
  <w:style w:type="character" w:styleId="Collegamentovisitato">
    <w:name w:val="FollowedHyperlink"/>
    <w:basedOn w:val="Carpredefinitoparagrafo"/>
    <w:uiPriority w:val="99"/>
    <w:semiHidden/>
    <w:unhideWhenUsed/>
    <w:rsid w:val="00FA3038"/>
    <w:rPr>
      <w:color w:val="954F72" w:themeColor="followedHyperlink"/>
      <w:u w:val="single"/>
    </w:rPr>
  </w:style>
  <w:style w:type="character" w:customStyle="1" w:styleId="SoggettocommentoCarattere">
    <w:name w:val="Soggetto commento Carattere"/>
    <w:basedOn w:val="TestocommentoCarattere"/>
    <w:link w:val="Soggettocommento"/>
    <w:uiPriority w:val="99"/>
    <w:semiHidden/>
    <w:qFormat/>
    <w:rsid w:val="007116D6"/>
    <w:rPr>
      <w:rFonts w:ascii="Times New Roman" w:eastAsia="Times New Roman" w:hAnsi="Times New Roman" w:cs="Times New Roman"/>
      <w:b/>
      <w:bCs/>
      <w:sz w:val="20"/>
      <w:szCs w:val="20"/>
      <w:lang w:eastAsia="it-IT"/>
    </w:rPr>
  </w:style>
  <w:style w:type="character" w:customStyle="1" w:styleId="NessunaspaziaturaCarattere">
    <w:name w:val="Nessuna spaziatura Carattere"/>
    <w:basedOn w:val="Carpredefinitoparagrafo"/>
    <w:link w:val="Nessunaspaziatura"/>
    <w:uiPriority w:val="1"/>
    <w:qFormat/>
    <w:rsid w:val="00CB14CF"/>
  </w:style>
  <w:style w:type="character" w:customStyle="1" w:styleId="TD-Livello1Carattere">
    <w:name w:val="TD - Livello 1 Carattere"/>
    <w:basedOn w:val="Carpredefinitoparagrafo"/>
    <w:link w:val="TD-Livello1"/>
    <w:qFormat/>
    <w:rsid w:val="000B4D9D"/>
    <w:rPr>
      <w:rFonts w:ascii="Arial Narrow" w:eastAsia="Times New Roman" w:hAnsi="Arial Narrow" w:cstheme="minorHAnsi"/>
      <w:b/>
      <w:sz w:val="48"/>
      <w:szCs w:val="48"/>
      <w:lang w:eastAsia="it-IT"/>
    </w:rPr>
  </w:style>
  <w:style w:type="character" w:customStyle="1" w:styleId="TD-Livello2Carattere">
    <w:name w:val="TD - Livello 2 Carattere"/>
    <w:basedOn w:val="Carpredefinitoparagrafo"/>
    <w:link w:val="TD-Livello2"/>
    <w:qFormat/>
    <w:rsid w:val="00B722E6"/>
    <w:rPr>
      <w:rFonts w:ascii="Arial Narrow" w:eastAsia="Times New Roman" w:hAnsi="Arial Narrow" w:cstheme="minorHAnsi"/>
      <w:b/>
      <w:sz w:val="36"/>
      <w:szCs w:val="40"/>
      <w:lang w:eastAsia="it-IT"/>
    </w:rPr>
  </w:style>
  <w:style w:type="character" w:customStyle="1" w:styleId="TD-Livello3Carattere">
    <w:name w:val="TD - Livello 3 Carattere"/>
    <w:basedOn w:val="Carpredefinitoparagrafo"/>
    <w:link w:val="TD-Livello3"/>
    <w:qFormat/>
    <w:rsid w:val="00D728AB"/>
    <w:rPr>
      <w:rFonts w:ascii="Arial Narrow" w:eastAsiaTheme="majorEastAsia" w:hAnsi="Arial Narrow" w:cstheme="minorHAnsi"/>
      <w:b/>
      <w:sz w:val="32"/>
      <w:szCs w:val="32"/>
      <w:lang w:eastAsia="it-IT"/>
    </w:rPr>
  </w:style>
  <w:style w:type="character" w:customStyle="1" w:styleId="Titolo7Carattere">
    <w:name w:val="Titolo 7 Carattere"/>
    <w:basedOn w:val="Carpredefinitoparagrafo"/>
    <w:link w:val="Titolo7"/>
    <w:uiPriority w:val="1"/>
    <w:qFormat/>
    <w:rsid w:val="009B1BBC"/>
    <w:rPr>
      <w:rFonts w:ascii="Calibri" w:eastAsia="Times New Roman" w:hAnsi="Calibri" w:cs="Calibri"/>
      <w:b/>
      <w:bCs/>
      <w:color w:val="203764"/>
      <w:lang w:val="en-GB" w:eastAsia="en-GB"/>
    </w:rPr>
  </w:style>
  <w:style w:type="character" w:customStyle="1" w:styleId="Menzionenonrisolta1">
    <w:name w:val="Menzione non risolta1"/>
    <w:basedOn w:val="Carpredefinitoparagrafo"/>
    <w:uiPriority w:val="99"/>
    <w:semiHidden/>
    <w:unhideWhenUsed/>
    <w:qFormat/>
    <w:rsid w:val="00B722E6"/>
    <w:rPr>
      <w:color w:val="605E5C"/>
      <w:shd w:val="clear" w:color="auto" w:fill="E1DFDD"/>
    </w:rPr>
  </w:style>
  <w:style w:type="character" w:customStyle="1" w:styleId="Menzionenonrisolta2">
    <w:name w:val="Menzione non risolta2"/>
    <w:basedOn w:val="Carpredefinitoparagrafo"/>
    <w:uiPriority w:val="99"/>
    <w:semiHidden/>
    <w:unhideWhenUsed/>
    <w:qFormat/>
    <w:rsid w:val="00B722E6"/>
    <w:rPr>
      <w:color w:val="605E5C"/>
      <w:shd w:val="clear" w:color="auto" w:fill="E1DFDD"/>
    </w:rPr>
  </w:style>
  <w:style w:type="character" w:styleId="Enfasigrassetto">
    <w:name w:val="Strong"/>
    <w:basedOn w:val="Carpredefinitoparagrafo"/>
    <w:uiPriority w:val="22"/>
    <w:qFormat/>
    <w:rsid w:val="00B722E6"/>
    <w:rPr>
      <w:b/>
      <w:bCs/>
    </w:rPr>
  </w:style>
  <w:style w:type="character" w:styleId="Enfasicorsivo">
    <w:name w:val="Emphasis"/>
    <w:basedOn w:val="Carpredefinitoparagrafo"/>
    <w:uiPriority w:val="20"/>
    <w:qFormat/>
    <w:rsid w:val="00B722E6"/>
    <w:rPr>
      <w:i/>
      <w:iCs/>
    </w:rPr>
  </w:style>
  <w:style w:type="character" w:customStyle="1" w:styleId="Menzionenonrisolta3">
    <w:name w:val="Menzione non risolta3"/>
    <w:basedOn w:val="Carpredefinitoparagrafo"/>
    <w:uiPriority w:val="99"/>
    <w:semiHidden/>
    <w:unhideWhenUsed/>
    <w:qFormat/>
    <w:rsid w:val="00B722E6"/>
    <w:rPr>
      <w:color w:val="605E5C"/>
      <w:shd w:val="clear" w:color="auto" w:fill="E1DFDD"/>
    </w:rPr>
  </w:style>
  <w:style w:type="character" w:customStyle="1" w:styleId="Menzionenonrisolta4">
    <w:name w:val="Menzione non risolta4"/>
    <w:basedOn w:val="Carpredefinitoparagrafo"/>
    <w:uiPriority w:val="99"/>
    <w:semiHidden/>
    <w:unhideWhenUsed/>
    <w:qFormat/>
    <w:rsid w:val="00B722E6"/>
    <w:rPr>
      <w:color w:val="605E5C"/>
      <w:shd w:val="clear" w:color="auto" w:fill="E1DFDD"/>
    </w:rPr>
  </w:style>
  <w:style w:type="character" w:customStyle="1" w:styleId="TD-Livello4Carattere">
    <w:name w:val="TD - Livello 4 Carattere"/>
    <w:basedOn w:val="TD-Livello3Carattere"/>
    <w:link w:val="TD-Livello4"/>
    <w:qFormat/>
    <w:rsid w:val="00325DE4"/>
    <w:rPr>
      <w:rFonts w:ascii="Arial" w:eastAsiaTheme="majorEastAsia" w:hAnsi="Arial" w:cstheme="minorHAnsi"/>
      <w:b/>
      <w:sz w:val="28"/>
      <w:szCs w:val="32"/>
      <w:lang w:eastAsia="it-IT"/>
    </w:rPr>
  </w:style>
  <w:style w:type="character" w:customStyle="1" w:styleId="CorpotestoCarattere">
    <w:name w:val="Corpo testo Carattere"/>
    <w:basedOn w:val="Carpredefinitoparagrafo"/>
    <w:link w:val="Corpotesto"/>
    <w:uiPriority w:val="1"/>
    <w:qFormat/>
    <w:rsid w:val="00B722E6"/>
    <w:rPr>
      <w:rFonts w:ascii="Calibri" w:eastAsia="Calibri" w:hAnsi="Calibri" w:cs="Calibri"/>
    </w:rPr>
  </w:style>
  <w:style w:type="character" w:customStyle="1" w:styleId="CitazioneCarattere">
    <w:name w:val="Citazione Carattere"/>
    <w:basedOn w:val="Carpredefinitoparagrafo"/>
    <w:link w:val="Citazione"/>
    <w:uiPriority w:val="29"/>
    <w:qFormat/>
    <w:rsid w:val="00B64B0F"/>
    <w:rPr>
      <w:i/>
      <w:iCs/>
      <w:color w:val="404040" w:themeColor="text1" w:themeTint="BF"/>
    </w:rPr>
  </w:style>
  <w:style w:type="character" w:customStyle="1" w:styleId="Saltoaindice">
    <w:name w:val="Salto a indice"/>
    <w:qFormat/>
  </w:style>
  <w:style w:type="paragraph" w:styleId="Titolo">
    <w:name w:val="Title"/>
    <w:basedOn w:val="Normale"/>
    <w:next w:val="Corpotesto"/>
    <w:link w:val="TitoloCarattere"/>
    <w:uiPriority w:val="10"/>
    <w:qFormat/>
    <w:rsid w:val="00305DF7"/>
    <w:pPr>
      <w:keepNext/>
      <w:keepLines/>
      <w:spacing w:before="480" w:after="120"/>
    </w:pPr>
    <w:rPr>
      <w:rFonts w:ascii="Calibri" w:eastAsia="Calibri" w:hAnsi="Calibri" w:cs="Calibri"/>
      <w:b/>
      <w:sz w:val="72"/>
      <w:szCs w:val="72"/>
      <w:lang w:eastAsia="it-IT"/>
    </w:rPr>
  </w:style>
  <w:style w:type="paragraph" w:styleId="Corpotesto">
    <w:name w:val="Body Text"/>
    <w:basedOn w:val="Normale"/>
    <w:link w:val="CorpotestoCarattere"/>
    <w:uiPriority w:val="1"/>
    <w:qFormat/>
    <w:rsid w:val="00B722E6"/>
    <w:pPr>
      <w:widowControl w:val="0"/>
      <w:spacing w:after="0" w:line="240" w:lineRule="auto"/>
      <w:ind w:left="1160"/>
    </w:pPr>
    <w:rPr>
      <w:rFonts w:ascii="Calibri" w:eastAsia="Calibri" w:hAnsi="Calibri" w:cs="Calibri"/>
    </w:r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uiPriority w:val="1"/>
    <w:qFormat/>
    <w:rsid w:val="008D7780"/>
    <w:pPr>
      <w:numPr>
        <w:numId w:val="3"/>
      </w:numPr>
      <w:spacing w:before="0"/>
      <w:contextualSpacing/>
    </w:pPr>
  </w:style>
  <w:style w:type="paragraph" w:styleId="Sottotitolo">
    <w:name w:val="Subtitle"/>
    <w:basedOn w:val="Normale"/>
    <w:next w:val="Normale"/>
    <w:link w:val="SottotitoloCarattere"/>
    <w:uiPriority w:val="11"/>
    <w:qFormat/>
    <w:rsid w:val="00305DF7"/>
    <w:pPr>
      <w:keepNext/>
      <w:keepLines/>
      <w:spacing w:before="360" w:after="80"/>
    </w:pPr>
    <w:rPr>
      <w:rFonts w:ascii="Georgia" w:eastAsia="Georgia" w:hAnsi="Georgia" w:cs="Georgia"/>
      <w:i/>
      <w:color w:val="666666"/>
      <w:sz w:val="48"/>
      <w:szCs w:val="48"/>
      <w:lang w:eastAsia="it-IT"/>
    </w:rPr>
  </w:style>
  <w:style w:type="paragraph" w:styleId="Testocommento">
    <w:name w:val="annotation text"/>
    <w:basedOn w:val="Normale"/>
    <w:link w:val="TestocommentoCarattere"/>
    <w:uiPriority w:val="99"/>
    <w:semiHidden/>
    <w:unhideWhenUsed/>
    <w:qFormat/>
    <w:rsid w:val="00305DF7"/>
    <w:pPr>
      <w:spacing w:after="0" w:line="240" w:lineRule="auto"/>
    </w:pPr>
    <w:rPr>
      <w:rFonts w:ascii="Times New Roman" w:eastAsia="Times New Roman" w:hAnsi="Times New Roman" w:cs="Times New Roman"/>
      <w:sz w:val="20"/>
      <w:szCs w:val="20"/>
      <w:lang w:eastAsia="it-IT"/>
    </w:rPr>
  </w:style>
  <w:style w:type="paragraph" w:styleId="Titoloindice">
    <w:name w:val="index heading"/>
    <w:basedOn w:val="Titolo"/>
  </w:style>
  <w:style w:type="paragraph" w:styleId="Titolosommario">
    <w:name w:val="TOC Heading"/>
    <w:basedOn w:val="Titolo1"/>
    <w:next w:val="Normale"/>
    <w:uiPriority w:val="39"/>
    <w:unhideWhenUsed/>
    <w:qFormat/>
    <w:rsid w:val="00D10B65"/>
    <w:pPr>
      <w:outlineLvl w:val="9"/>
    </w:pPr>
    <w:rPr>
      <w:lang w:eastAsia="it-IT"/>
    </w:rPr>
  </w:style>
  <w:style w:type="paragraph" w:styleId="Sommario1">
    <w:name w:val="toc 1"/>
    <w:basedOn w:val="Normale"/>
    <w:next w:val="Normale"/>
    <w:autoRedefine/>
    <w:uiPriority w:val="39"/>
    <w:unhideWhenUsed/>
    <w:qFormat/>
    <w:rsid w:val="00DA0874"/>
    <w:pPr>
      <w:spacing w:before="120" w:after="120"/>
      <w:ind w:left="0"/>
      <w:jc w:val="left"/>
    </w:pPr>
    <w:rPr>
      <w:rFonts w:cstheme="minorHAnsi"/>
      <w:b/>
      <w:bCs/>
      <w:caps/>
      <w:sz w:val="20"/>
      <w:szCs w:val="20"/>
    </w:rPr>
  </w:style>
  <w:style w:type="paragraph" w:styleId="Sommario2">
    <w:name w:val="toc 2"/>
    <w:basedOn w:val="Normale"/>
    <w:next w:val="Normale"/>
    <w:autoRedefine/>
    <w:uiPriority w:val="39"/>
    <w:unhideWhenUsed/>
    <w:qFormat/>
    <w:rsid w:val="000D7B06"/>
    <w:pPr>
      <w:spacing w:before="0" w:after="0"/>
      <w:ind w:left="220"/>
      <w:jc w:val="left"/>
    </w:pPr>
    <w:rPr>
      <w:rFonts w:cstheme="minorHAnsi"/>
      <w:smallCaps/>
      <w:sz w:val="20"/>
      <w:szCs w:val="20"/>
    </w:rPr>
  </w:style>
  <w:style w:type="paragraph" w:styleId="Sommario3">
    <w:name w:val="toc 3"/>
    <w:basedOn w:val="Normale"/>
    <w:next w:val="Normale"/>
    <w:autoRedefine/>
    <w:uiPriority w:val="39"/>
    <w:unhideWhenUsed/>
    <w:qFormat/>
    <w:rsid w:val="007249C2"/>
    <w:pPr>
      <w:tabs>
        <w:tab w:val="right" w:leader="dot" w:pos="9016"/>
      </w:tabs>
      <w:spacing w:before="0" w:after="0" w:line="240" w:lineRule="auto"/>
      <w:ind w:left="442" w:right="142"/>
      <w:jc w:val="left"/>
    </w:pPr>
    <w:rPr>
      <w:rFonts w:cstheme="minorHAnsi"/>
      <w:i/>
      <w:iCs/>
      <w:sz w:val="20"/>
      <w:szCs w:val="20"/>
    </w:rPr>
  </w:style>
  <w:style w:type="paragraph" w:styleId="Nessunaspaziatura">
    <w:name w:val="No Spacing"/>
    <w:link w:val="NessunaspaziaturaCarattere"/>
    <w:uiPriority w:val="1"/>
    <w:qFormat/>
    <w:rsid w:val="00C11DC0"/>
  </w:style>
  <w:style w:type="paragraph" w:customStyle="1" w:styleId="Intestazioneepidipagina">
    <w:name w:val="Intestazione e piè di pagina"/>
    <w:basedOn w:val="Normale"/>
    <w:qFormat/>
  </w:style>
  <w:style w:type="paragraph" w:styleId="Intestazione">
    <w:name w:val="header"/>
    <w:basedOn w:val="Normale"/>
    <w:link w:val="IntestazioneCarattere"/>
    <w:unhideWhenUsed/>
    <w:rsid w:val="00E62E4A"/>
    <w:pPr>
      <w:tabs>
        <w:tab w:val="center" w:pos="4819"/>
        <w:tab w:val="right" w:pos="9638"/>
      </w:tabs>
      <w:spacing w:after="0" w:line="240" w:lineRule="auto"/>
    </w:pPr>
  </w:style>
  <w:style w:type="paragraph" w:styleId="Pidipagina">
    <w:name w:val="footer"/>
    <w:basedOn w:val="Normale"/>
    <w:link w:val="PidipaginaCarattere"/>
    <w:uiPriority w:val="99"/>
    <w:unhideWhenUsed/>
    <w:rsid w:val="00E62E4A"/>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CC03A3"/>
    <w:pPr>
      <w:spacing w:after="0" w:line="240" w:lineRule="auto"/>
    </w:pPr>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qFormat/>
    <w:rsid w:val="007116D6"/>
    <w:pPr>
      <w:spacing w:after="160"/>
    </w:pPr>
    <w:rPr>
      <w:rFonts w:asciiTheme="minorHAnsi" w:eastAsiaTheme="minorHAnsi" w:hAnsiTheme="minorHAnsi" w:cstheme="minorBidi"/>
      <w:b/>
      <w:bCs/>
      <w:lang w:eastAsia="en-US"/>
    </w:rPr>
  </w:style>
  <w:style w:type="paragraph" w:styleId="NormaleWeb">
    <w:name w:val="Normal (Web)"/>
    <w:basedOn w:val="Normale"/>
    <w:uiPriority w:val="99"/>
    <w:unhideWhenUsed/>
    <w:qFormat/>
    <w:rsid w:val="001C5B32"/>
    <w:rPr>
      <w:rFonts w:ascii="Times New Roman" w:hAnsi="Times New Roman" w:cs="Times New Roman"/>
      <w:sz w:val="24"/>
      <w:szCs w:val="24"/>
    </w:rPr>
  </w:style>
  <w:style w:type="paragraph" w:customStyle="1" w:styleId="TD-Livello1">
    <w:name w:val="TD - Livello 1"/>
    <w:next w:val="Normale"/>
    <w:link w:val="TD-Livello1Carattere"/>
    <w:autoRedefine/>
    <w:qFormat/>
    <w:rsid w:val="000B4D9D"/>
    <w:pPr>
      <w:pBdr>
        <w:bottom w:val="single" w:sz="4" w:space="1" w:color="BFBFBF"/>
      </w:pBdr>
    </w:pPr>
    <w:rPr>
      <w:rFonts w:ascii="Arial Narrow" w:eastAsia="Times New Roman" w:hAnsi="Arial Narrow" w:cstheme="minorHAnsi"/>
      <w:b/>
      <w:sz w:val="48"/>
      <w:szCs w:val="48"/>
      <w:lang w:eastAsia="it-IT"/>
    </w:rPr>
  </w:style>
  <w:style w:type="paragraph" w:customStyle="1" w:styleId="TD-Livello2">
    <w:name w:val="TD - Livello 2"/>
    <w:link w:val="TD-Livello2Carattere"/>
    <w:autoRedefine/>
    <w:qFormat/>
    <w:rsid w:val="00B722E6"/>
    <w:pPr>
      <w:jc w:val="both"/>
    </w:pPr>
    <w:rPr>
      <w:rFonts w:ascii="Arial Narrow" w:eastAsia="Times New Roman" w:hAnsi="Arial Narrow" w:cstheme="minorHAnsi"/>
      <w:b/>
      <w:sz w:val="36"/>
      <w:szCs w:val="40"/>
      <w:lang w:eastAsia="it-IT"/>
    </w:rPr>
  </w:style>
  <w:style w:type="paragraph" w:customStyle="1" w:styleId="TD-Livello3">
    <w:name w:val="TD - Livello 3"/>
    <w:next w:val="Normale"/>
    <w:link w:val="TD-Livello3Carattere"/>
    <w:autoRedefine/>
    <w:qFormat/>
    <w:rsid w:val="00D728AB"/>
    <w:pPr>
      <w:pBdr>
        <w:bottom w:val="dotted" w:sz="4" w:space="1" w:color="D9D9D9"/>
      </w:pBdr>
      <w:spacing w:before="144" w:after="144" w:line="360" w:lineRule="auto"/>
      <w:jc w:val="both"/>
    </w:pPr>
    <w:rPr>
      <w:rFonts w:ascii="Arial Narrow" w:eastAsiaTheme="majorEastAsia" w:hAnsi="Arial Narrow" w:cstheme="minorHAnsi"/>
      <w:b/>
      <w:sz w:val="32"/>
      <w:szCs w:val="32"/>
      <w:lang w:eastAsia="it-IT"/>
    </w:rPr>
  </w:style>
  <w:style w:type="paragraph" w:styleId="Puntoelenco">
    <w:name w:val="List Bullet"/>
    <w:basedOn w:val="Normale"/>
    <w:uiPriority w:val="99"/>
    <w:unhideWhenUsed/>
    <w:qFormat/>
    <w:rsid w:val="00B722E6"/>
    <w:pPr>
      <w:numPr>
        <w:numId w:val="5"/>
      </w:numPr>
      <w:overflowPunct w:val="0"/>
      <w:spacing w:after="0" w:line="240" w:lineRule="auto"/>
      <w:contextualSpacing/>
      <w:textAlignment w:val="baseline"/>
    </w:pPr>
    <w:rPr>
      <w:rFonts w:ascii="Arial Narrow" w:eastAsia="Times New Roman" w:hAnsi="Arial Narrow" w:cs="Times New Roman"/>
      <w:color w:val="595959" w:themeColor="text1" w:themeTint="A6"/>
      <w:sz w:val="26"/>
      <w:szCs w:val="20"/>
      <w:lang w:eastAsia="it-IT"/>
    </w:rPr>
  </w:style>
  <w:style w:type="paragraph" w:customStyle="1" w:styleId="Default">
    <w:name w:val="Default"/>
    <w:qFormat/>
    <w:rsid w:val="00B722E6"/>
    <w:rPr>
      <w:rFonts w:ascii="Calibri" w:eastAsia="Times New Roman" w:hAnsi="Calibri" w:cs="Calibri"/>
      <w:color w:val="000000"/>
      <w:sz w:val="24"/>
      <w:szCs w:val="24"/>
      <w:lang w:eastAsia="it-IT"/>
    </w:rPr>
  </w:style>
  <w:style w:type="paragraph" w:styleId="Sommario4">
    <w:name w:val="toc 4"/>
    <w:basedOn w:val="Normale"/>
    <w:next w:val="Normale"/>
    <w:autoRedefine/>
    <w:uiPriority w:val="39"/>
    <w:unhideWhenUsed/>
    <w:rsid w:val="007C48D3"/>
    <w:pPr>
      <w:spacing w:before="0" w:after="0"/>
      <w:ind w:left="660"/>
      <w:jc w:val="left"/>
    </w:pPr>
    <w:rPr>
      <w:rFonts w:cstheme="minorHAnsi"/>
      <w:sz w:val="18"/>
      <w:szCs w:val="18"/>
    </w:rPr>
  </w:style>
  <w:style w:type="paragraph" w:styleId="Sommario5">
    <w:name w:val="toc 5"/>
    <w:basedOn w:val="Normale"/>
    <w:next w:val="Normale"/>
    <w:autoRedefine/>
    <w:uiPriority w:val="39"/>
    <w:unhideWhenUsed/>
    <w:rsid w:val="000D7B06"/>
    <w:pPr>
      <w:spacing w:before="0" w:after="0"/>
      <w:ind w:left="880"/>
      <w:jc w:val="left"/>
    </w:pPr>
    <w:rPr>
      <w:rFonts w:cstheme="minorHAnsi"/>
      <w:sz w:val="18"/>
      <w:szCs w:val="18"/>
    </w:rPr>
  </w:style>
  <w:style w:type="paragraph" w:styleId="Sommario6">
    <w:name w:val="toc 6"/>
    <w:basedOn w:val="Normale"/>
    <w:next w:val="Normale"/>
    <w:autoRedefine/>
    <w:uiPriority w:val="39"/>
    <w:unhideWhenUsed/>
    <w:rsid w:val="00B722E6"/>
    <w:pPr>
      <w:spacing w:before="0" w:after="0"/>
      <w:ind w:left="1100"/>
      <w:jc w:val="left"/>
    </w:pPr>
    <w:rPr>
      <w:rFonts w:cstheme="minorHAnsi"/>
      <w:sz w:val="18"/>
      <w:szCs w:val="18"/>
    </w:rPr>
  </w:style>
  <w:style w:type="paragraph" w:styleId="Sommario7">
    <w:name w:val="toc 7"/>
    <w:basedOn w:val="Normale"/>
    <w:next w:val="Normale"/>
    <w:autoRedefine/>
    <w:uiPriority w:val="39"/>
    <w:unhideWhenUsed/>
    <w:rsid w:val="00B722E6"/>
    <w:pPr>
      <w:spacing w:before="0" w:after="0"/>
      <w:ind w:left="1320"/>
      <w:jc w:val="left"/>
    </w:pPr>
    <w:rPr>
      <w:rFonts w:cstheme="minorHAnsi"/>
      <w:sz w:val="18"/>
      <w:szCs w:val="18"/>
    </w:rPr>
  </w:style>
  <w:style w:type="paragraph" w:styleId="Sommario8">
    <w:name w:val="toc 8"/>
    <w:basedOn w:val="Normale"/>
    <w:next w:val="Normale"/>
    <w:autoRedefine/>
    <w:uiPriority w:val="39"/>
    <w:unhideWhenUsed/>
    <w:rsid w:val="00B722E6"/>
    <w:pPr>
      <w:spacing w:before="0" w:after="0"/>
      <w:ind w:left="1540"/>
      <w:jc w:val="left"/>
    </w:pPr>
    <w:rPr>
      <w:rFonts w:cstheme="minorHAnsi"/>
      <w:sz w:val="18"/>
      <w:szCs w:val="18"/>
    </w:rPr>
  </w:style>
  <w:style w:type="paragraph" w:styleId="Sommario9">
    <w:name w:val="toc 9"/>
    <w:basedOn w:val="Normale"/>
    <w:next w:val="Normale"/>
    <w:autoRedefine/>
    <w:uiPriority w:val="39"/>
    <w:unhideWhenUsed/>
    <w:rsid w:val="00B722E6"/>
    <w:pPr>
      <w:spacing w:before="0" w:after="0"/>
      <w:ind w:left="1760"/>
      <w:jc w:val="left"/>
    </w:pPr>
    <w:rPr>
      <w:rFonts w:cstheme="minorHAnsi"/>
      <w:sz w:val="18"/>
      <w:szCs w:val="18"/>
    </w:rPr>
  </w:style>
  <w:style w:type="paragraph" w:customStyle="1" w:styleId="TD-Livello4">
    <w:name w:val="TD - Livello 4"/>
    <w:next w:val="Default"/>
    <w:link w:val="TD-Livello4Carattere"/>
    <w:autoRedefine/>
    <w:qFormat/>
    <w:rsid w:val="00325DE4"/>
    <w:pPr>
      <w:spacing w:before="144" w:after="144" w:line="360" w:lineRule="auto"/>
      <w:jc w:val="both"/>
    </w:pPr>
    <w:rPr>
      <w:rFonts w:ascii="Arial" w:eastAsiaTheme="majorEastAsia" w:hAnsi="Arial" w:cstheme="minorHAnsi"/>
      <w:b/>
      <w:sz w:val="28"/>
      <w:szCs w:val="32"/>
      <w:lang w:eastAsia="it-IT"/>
    </w:rPr>
  </w:style>
  <w:style w:type="paragraph" w:customStyle="1" w:styleId="TableParagraph">
    <w:name w:val="Table Paragraph"/>
    <w:basedOn w:val="Normale"/>
    <w:uiPriority w:val="1"/>
    <w:qFormat/>
    <w:rsid w:val="00B722E6"/>
    <w:pPr>
      <w:widowControl w:val="0"/>
      <w:spacing w:after="0" w:line="240" w:lineRule="auto"/>
    </w:pPr>
    <w:rPr>
      <w:rFonts w:ascii="Calibri" w:eastAsia="Calibri" w:hAnsi="Calibri" w:cs="Calibri"/>
    </w:rPr>
  </w:style>
  <w:style w:type="paragraph" w:styleId="Citazione">
    <w:name w:val="Quote"/>
    <w:basedOn w:val="Normale"/>
    <w:next w:val="Normale"/>
    <w:link w:val="CitazioneCarattere"/>
    <w:uiPriority w:val="29"/>
    <w:qFormat/>
    <w:rsid w:val="00B64B0F"/>
    <w:pPr>
      <w:spacing w:before="200" w:after="160"/>
      <w:ind w:left="864" w:right="864"/>
      <w:jc w:val="center"/>
    </w:pPr>
    <w:rPr>
      <w:i/>
      <w:iCs/>
      <w:color w:val="404040" w:themeColor="text1" w:themeTint="BF"/>
    </w:rPr>
  </w:style>
  <w:style w:type="paragraph" w:customStyle="1" w:styleId="western">
    <w:name w:val="western"/>
    <w:basedOn w:val="Normale"/>
    <w:qFormat/>
    <w:rsid w:val="00490064"/>
    <w:pPr>
      <w:spacing w:before="45" w:after="0" w:line="240" w:lineRule="auto"/>
      <w:ind w:left="153" w:right="0"/>
      <w:jc w:val="left"/>
    </w:pPr>
    <w:rPr>
      <w:rFonts w:ascii="Century Gothic" w:eastAsia="Times New Roman" w:hAnsi="Century Gothic" w:cs="Times New Roman"/>
      <w:sz w:val="24"/>
      <w:szCs w:val="24"/>
      <w:lang w:eastAsia="it-IT"/>
    </w:rPr>
  </w:style>
  <w:style w:type="paragraph" w:customStyle="1" w:styleId="Contenutocornice">
    <w:name w:val="Contenuto cornice"/>
    <w:basedOn w:val="Normale"/>
    <w:qFormat/>
  </w:style>
  <w:style w:type="table" w:customStyle="1" w:styleId="TableGrid">
    <w:name w:val="TableGrid"/>
    <w:rsid w:val="00EE6D94"/>
    <w:rPr>
      <w:rFonts w:eastAsiaTheme="minorEastAsia"/>
      <w:lang w:eastAsia="it-IT"/>
    </w:rPr>
    <w:tblPr>
      <w:tblCellMar>
        <w:top w:w="0" w:type="dxa"/>
        <w:left w:w="0" w:type="dxa"/>
        <w:bottom w:w="0" w:type="dxa"/>
        <w:right w:w="0" w:type="dxa"/>
      </w:tblCellMar>
    </w:tblPr>
  </w:style>
  <w:style w:type="table" w:styleId="Grigliatabella">
    <w:name w:val="Table Grid"/>
    <w:basedOn w:val="Tabellanormale"/>
    <w:uiPriority w:val="59"/>
    <w:rsid w:val="00016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1">
    <w:name w:val="Plain Table 1"/>
    <w:basedOn w:val="Tabellanormale"/>
    <w:uiPriority w:val="41"/>
    <w:rsid w:val="009F0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griglia4-colore11">
    <w:name w:val="Tabella griglia 4 - colore 11"/>
    <w:basedOn w:val="Tabellanormale"/>
    <w:uiPriority w:val="49"/>
    <w:rsid w:val="00B722E6"/>
    <w:rPr>
      <w:sz w:val="20"/>
      <w:szCs w:val="20"/>
      <w:lang w:eastAsia="it-I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2-colore11">
    <w:name w:val="Tabella griglia 2 - colore 11"/>
    <w:basedOn w:val="Tabellanormale"/>
    <w:uiPriority w:val="47"/>
    <w:rsid w:val="00B722E6"/>
    <w:rPr>
      <w:sz w:val="20"/>
      <w:szCs w:val="20"/>
      <w:lang w:eastAsia="it-IT"/>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4472C4" w:themeColor="accent1"/>
          <w:insideH w:val="nil"/>
          <w:insideV w:val="nil"/>
        </w:tcBorders>
        <w:shd w:val="clear" w:color="auto" w:fill="FFFFFF" w:themeFill="background1"/>
      </w:tcPr>
    </w:tblStylePr>
    <w:tblStylePr w:type="lastRow">
      <w:rPr>
        <w:b/>
        <w:bCs/>
      </w:rPr>
      <w:tblPr/>
      <w:tcPr>
        <w:tcBorders>
          <w:top w:val="double" w:sz="2" w:space="0" w:color="4472C4"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elenco1chiara-colore11">
    <w:name w:val="Tabella elenco 1 chiara - colore 11"/>
    <w:basedOn w:val="Tabellanormale"/>
    <w:uiPriority w:val="46"/>
    <w:rsid w:val="00B722E6"/>
    <w:rPr>
      <w:sz w:val="20"/>
      <w:szCs w:val="20"/>
      <w:lang w:eastAsia="it-IT"/>
    </w:rPr>
    <w:tblPr>
      <w:tblStyleRowBandSize w:val="1"/>
      <w:tblStyleColBandSize w:val="1"/>
    </w:tblPr>
    <w:tblStylePr w:type="firstRow">
      <w:rPr>
        <w:b/>
        <w:bCs/>
      </w:rPr>
      <w:tblPr/>
      <w:tcPr>
        <w:tcBorders>
          <w:bottom w:val="single" w:sz="4" w:space="0" w:color="4472C4" w:themeColor="accent1"/>
        </w:tcBorders>
      </w:tcPr>
    </w:tblStylePr>
    <w:tblStylePr w:type="lastRow">
      <w:rPr>
        <w:b/>
        <w:bCs/>
      </w:rPr>
      <w:tblPr/>
      <w:tcPr>
        <w:tcBorders>
          <w:top w:val="sing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1chiara-colore31">
    <w:name w:val="Tabella griglia 1 chiara - colore 31"/>
    <w:basedOn w:val="Tabellanormale"/>
    <w:uiPriority w:val="46"/>
    <w:rsid w:val="00B722E6"/>
    <w:rPr>
      <w:sz w:val="20"/>
      <w:szCs w:val="20"/>
      <w:lang w:eastAsia="it-IT"/>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A5A5A5" w:themeColor="accent3"/>
        </w:tcBorders>
      </w:tcPr>
    </w:tblStylePr>
    <w:tblStylePr w:type="lastRow">
      <w:rPr>
        <w:b/>
        <w:bCs/>
      </w:rPr>
      <w:tblPr/>
      <w:tcPr>
        <w:tcBorders>
          <w:top w:val="double" w:sz="2" w:space="0" w:color="A5A5A5" w:themeColor="accent3"/>
        </w:tcBorders>
      </w:tcPr>
    </w:tblStylePr>
    <w:tblStylePr w:type="firstCol">
      <w:rPr>
        <w:b/>
        <w:bCs/>
      </w:rPr>
    </w:tblStylePr>
    <w:tblStylePr w:type="lastCol">
      <w:rPr>
        <w:b/>
        <w:bCs/>
      </w:rPr>
    </w:tblStylePr>
  </w:style>
  <w:style w:type="table" w:customStyle="1" w:styleId="Tabellagriglia6acolori-colore31">
    <w:name w:val="Tabella griglia 6 a colori - colore 31"/>
    <w:basedOn w:val="Tabellanormale"/>
    <w:uiPriority w:val="51"/>
    <w:rsid w:val="00B722E6"/>
    <w:rPr>
      <w:color w:val="7B7B7B" w:themeColor="accent3" w:themeShade="BF"/>
      <w:sz w:val="20"/>
      <w:szCs w:val="20"/>
      <w:lang w:eastAsia="it-I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agriglia5scura-colore31">
    <w:name w:val="Tabella griglia 5 scura - colore 31"/>
    <w:basedOn w:val="Tabellanormale"/>
    <w:uiPriority w:val="50"/>
    <w:rsid w:val="00B722E6"/>
    <w:rPr>
      <w:sz w:val="20"/>
      <w:szCs w:val="20"/>
      <w:lang w:eastAsia="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lagriglia1chiara-colore61">
    <w:name w:val="Tabella griglia 1 chiara - colore 61"/>
    <w:basedOn w:val="Tabellanormale"/>
    <w:uiPriority w:val="46"/>
    <w:rsid w:val="00B722E6"/>
    <w:rPr>
      <w:sz w:val="20"/>
      <w:szCs w:val="20"/>
      <w:lang w:eastAsia="it-IT"/>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70AD47" w:themeColor="accent6"/>
        </w:tcBorders>
      </w:tcPr>
    </w:tblStylePr>
    <w:tblStylePr w:type="lastRow">
      <w:rPr>
        <w:b/>
        <w:bCs/>
      </w:rPr>
      <w:tblPr/>
      <w:tcPr>
        <w:tcBorders>
          <w:top w:val="double" w:sz="2" w:space="0" w:color="70AD47" w:themeColor="accent6"/>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B722E6"/>
    <w:rPr>
      <w:lang w:val="en-US"/>
    </w:rPr>
    <w:tblPr>
      <w:tblCellMar>
        <w:top w:w="0" w:type="dxa"/>
        <w:left w:w="0" w:type="dxa"/>
        <w:bottom w:w="0" w:type="dxa"/>
        <w:right w:w="0" w:type="dxa"/>
      </w:tblCellMar>
    </w:tblPr>
  </w:style>
  <w:style w:type="paragraph" w:customStyle="1" w:styleId="msonormal0">
    <w:name w:val="msonormal"/>
    <w:basedOn w:val="Normale"/>
    <w:rsid w:val="00101354"/>
    <w:pPr>
      <w:suppressAutoHyphens w:val="0"/>
      <w:spacing w:before="100" w:beforeAutospacing="1" w:after="100" w:afterAutospacing="1" w:line="240" w:lineRule="auto"/>
      <w:ind w:left="0" w:right="0"/>
      <w:jc w:val="left"/>
    </w:pPr>
    <w:rPr>
      <w:rFonts w:ascii="Times New Roman" w:eastAsia="Times New Roman" w:hAnsi="Times New Roman" w:cs="Times New Roman"/>
      <w:sz w:val="24"/>
      <w:szCs w:val="24"/>
      <w:lang w:eastAsia="it-IT"/>
    </w:rPr>
  </w:style>
  <w:style w:type="paragraph" w:customStyle="1" w:styleId="xl65">
    <w:name w:val="xl65"/>
    <w:basedOn w:val="Normale"/>
    <w:rsid w:val="00101354"/>
    <w:pPr>
      <w:suppressAutoHyphens w:val="0"/>
      <w:spacing w:before="100" w:beforeAutospacing="1" w:after="100" w:afterAutospacing="1" w:line="240" w:lineRule="auto"/>
      <w:ind w:left="0" w:right="0"/>
      <w:jc w:val="left"/>
    </w:pPr>
    <w:rPr>
      <w:rFonts w:ascii="Times New Roman" w:eastAsia="Times New Roman" w:hAnsi="Times New Roman" w:cs="Times New Roman"/>
      <w:sz w:val="16"/>
      <w:szCs w:val="16"/>
      <w:lang w:eastAsia="it-IT"/>
    </w:rPr>
  </w:style>
  <w:style w:type="paragraph" w:customStyle="1" w:styleId="xl66">
    <w:name w:val="xl66"/>
    <w:basedOn w:val="Normale"/>
    <w:rsid w:val="00101354"/>
    <w:pPr>
      <w:suppressAutoHyphens w:val="0"/>
      <w:spacing w:before="100" w:beforeAutospacing="1" w:after="100" w:afterAutospacing="1" w:line="240" w:lineRule="auto"/>
      <w:ind w:left="0" w:right="0"/>
      <w:jc w:val="left"/>
      <w:textAlignment w:val="center"/>
    </w:pPr>
    <w:rPr>
      <w:rFonts w:ascii="Times New Roman" w:eastAsia="Times New Roman" w:hAnsi="Times New Roman" w:cs="Times New Roman"/>
      <w:sz w:val="16"/>
      <w:szCs w:val="16"/>
      <w:lang w:eastAsia="it-IT"/>
    </w:rPr>
  </w:style>
  <w:style w:type="paragraph" w:customStyle="1" w:styleId="xl67">
    <w:name w:val="xl67"/>
    <w:basedOn w:val="Normale"/>
    <w:rsid w:val="00101354"/>
    <w:pP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sz w:val="16"/>
      <w:szCs w:val="16"/>
      <w:lang w:eastAsia="it-IT"/>
    </w:rPr>
  </w:style>
  <w:style w:type="paragraph" w:customStyle="1" w:styleId="xl68">
    <w:name w:val="xl68"/>
    <w:basedOn w:val="Normale"/>
    <w:rsid w:val="00101354"/>
    <w:pPr>
      <w:pBdr>
        <w:left w:val="single" w:sz="4" w:space="0" w:color="auto"/>
        <w:bottom w:val="single" w:sz="4"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sz w:val="14"/>
      <w:szCs w:val="14"/>
      <w:lang w:eastAsia="it-IT"/>
    </w:rPr>
  </w:style>
  <w:style w:type="paragraph" w:customStyle="1" w:styleId="xl69">
    <w:name w:val="xl69"/>
    <w:basedOn w:val="Normale"/>
    <w:rsid w:val="00101354"/>
    <w:pPr>
      <w:pBdr>
        <w:left w:val="single" w:sz="4" w:space="0" w:color="auto"/>
        <w:bottom w:val="single" w:sz="4" w:space="0" w:color="auto"/>
      </w:pBdr>
      <w:suppressAutoHyphens w:val="0"/>
      <w:spacing w:before="100" w:beforeAutospacing="1" w:after="100" w:afterAutospacing="1" w:line="240" w:lineRule="auto"/>
      <w:ind w:left="0" w:right="0"/>
      <w:jc w:val="left"/>
      <w:textAlignment w:val="center"/>
    </w:pPr>
    <w:rPr>
      <w:rFonts w:ascii="Times New Roman" w:eastAsia="Times New Roman" w:hAnsi="Times New Roman" w:cs="Times New Roman"/>
      <w:sz w:val="14"/>
      <w:szCs w:val="14"/>
      <w:lang w:eastAsia="it-IT"/>
    </w:rPr>
  </w:style>
  <w:style w:type="paragraph" w:customStyle="1" w:styleId="xl70">
    <w:name w:val="xl70"/>
    <w:basedOn w:val="Normale"/>
    <w:rsid w:val="00101354"/>
    <w:pPr>
      <w:pBdr>
        <w:left w:val="single" w:sz="4" w:space="0" w:color="auto"/>
        <w:bottom w:val="single" w:sz="4" w:space="0" w:color="auto"/>
        <w:right w:val="single" w:sz="4"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sz w:val="24"/>
      <w:szCs w:val="24"/>
      <w:lang w:eastAsia="it-IT"/>
    </w:rPr>
  </w:style>
  <w:style w:type="paragraph" w:customStyle="1" w:styleId="xl71">
    <w:name w:val="xl71"/>
    <w:basedOn w:val="Normale"/>
    <w:rsid w:val="00101354"/>
    <w:pPr>
      <w:pBdr>
        <w:left w:val="single" w:sz="4" w:space="0" w:color="auto"/>
        <w:bottom w:val="single" w:sz="4" w:space="0" w:color="auto"/>
        <w:right w:val="single" w:sz="4"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sz w:val="24"/>
      <w:szCs w:val="24"/>
      <w:lang w:eastAsia="it-IT"/>
    </w:rPr>
  </w:style>
  <w:style w:type="paragraph" w:customStyle="1" w:styleId="xl72">
    <w:name w:val="xl72"/>
    <w:basedOn w:val="Normale"/>
    <w:rsid w:val="00101354"/>
    <w:pPr>
      <w:pBdr>
        <w:top w:val="single" w:sz="8" w:space="0" w:color="auto"/>
        <w:left w:val="single" w:sz="8" w:space="0" w:color="auto"/>
        <w:bottom w:val="single" w:sz="8"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b/>
      <w:bCs/>
      <w:sz w:val="18"/>
      <w:szCs w:val="18"/>
      <w:lang w:eastAsia="it-IT"/>
    </w:rPr>
  </w:style>
  <w:style w:type="paragraph" w:customStyle="1" w:styleId="xl73">
    <w:name w:val="xl73"/>
    <w:basedOn w:val="Normale"/>
    <w:rsid w:val="00101354"/>
    <w:pPr>
      <w:pBdr>
        <w:top w:val="single" w:sz="8" w:space="0" w:color="auto"/>
        <w:left w:val="single" w:sz="4" w:space="0" w:color="auto"/>
        <w:bottom w:val="single" w:sz="8"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b/>
      <w:bCs/>
      <w:sz w:val="18"/>
      <w:szCs w:val="18"/>
      <w:lang w:eastAsia="it-IT"/>
    </w:rPr>
  </w:style>
  <w:style w:type="paragraph" w:customStyle="1" w:styleId="xl74">
    <w:name w:val="xl74"/>
    <w:basedOn w:val="Normale"/>
    <w:rsid w:val="00101354"/>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sz w:val="24"/>
      <w:szCs w:val="24"/>
      <w:lang w:eastAsia="it-IT"/>
    </w:rPr>
  </w:style>
  <w:style w:type="paragraph" w:customStyle="1" w:styleId="xl75">
    <w:name w:val="xl75"/>
    <w:basedOn w:val="Normale"/>
    <w:rsid w:val="00101354"/>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sz w:val="24"/>
      <w:szCs w:val="24"/>
      <w:lang w:eastAsia="it-IT"/>
    </w:rPr>
  </w:style>
  <w:style w:type="paragraph" w:customStyle="1" w:styleId="xl76">
    <w:name w:val="xl76"/>
    <w:basedOn w:val="Normale"/>
    <w:rsid w:val="00101354"/>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sz w:val="24"/>
      <w:szCs w:val="24"/>
      <w:lang w:eastAsia="it-IT"/>
    </w:rPr>
  </w:style>
  <w:style w:type="paragraph" w:customStyle="1" w:styleId="xl77">
    <w:name w:val="xl77"/>
    <w:basedOn w:val="Normale"/>
    <w:rsid w:val="00101354"/>
    <w:pPr>
      <w:pBdr>
        <w:left w:val="single" w:sz="4" w:space="0" w:color="auto"/>
        <w:bottom w:val="single" w:sz="4" w:space="0" w:color="auto"/>
        <w:right w:val="single" w:sz="4"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sz w:val="24"/>
      <w:szCs w:val="24"/>
      <w:lang w:eastAsia="it-IT"/>
    </w:rPr>
  </w:style>
  <w:style w:type="paragraph" w:customStyle="1" w:styleId="xl78">
    <w:name w:val="xl78"/>
    <w:basedOn w:val="Normale"/>
    <w:rsid w:val="00101354"/>
    <w:pPr>
      <w:pBdr>
        <w:left w:val="single" w:sz="4" w:space="0" w:color="auto"/>
        <w:bottom w:val="single" w:sz="4" w:space="0" w:color="auto"/>
        <w:right w:val="single" w:sz="8"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b/>
      <w:bCs/>
      <w:color w:val="FF0000"/>
      <w:sz w:val="24"/>
      <w:szCs w:val="24"/>
      <w:lang w:eastAsia="it-IT"/>
    </w:rPr>
  </w:style>
  <w:style w:type="paragraph" w:customStyle="1" w:styleId="xl79">
    <w:name w:val="xl79"/>
    <w:basedOn w:val="Normale"/>
    <w:rsid w:val="00101354"/>
    <w:pPr>
      <w:pBdr>
        <w:top w:val="single" w:sz="8" w:space="0" w:color="auto"/>
        <w:left w:val="single" w:sz="8" w:space="0" w:color="auto"/>
        <w:bottom w:val="single" w:sz="8" w:space="0" w:color="auto"/>
      </w:pBdr>
      <w:suppressAutoHyphens w:val="0"/>
      <w:spacing w:before="100" w:beforeAutospacing="1" w:after="100" w:afterAutospacing="1" w:line="240" w:lineRule="auto"/>
      <w:ind w:left="0" w:right="0"/>
      <w:jc w:val="center"/>
    </w:pPr>
    <w:rPr>
      <w:rFonts w:ascii="Times New Roman" w:eastAsia="Times New Roman" w:hAnsi="Times New Roman" w:cs="Times New Roman"/>
      <w:sz w:val="24"/>
      <w:szCs w:val="24"/>
      <w:lang w:eastAsia="it-IT"/>
    </w:rPr>
  </w:style>
  <w:style w:type="paragraph" w:customStyle="1" w:styleId="xl80">
    <w:name w:val="xl80"/>
    <w:basedOn w:val="Normale"/>
    <w:rsid w:val="00101354"/>
    <w:pPr>
      <w:pBdr>
        <w:top w:val="single" w:sz="8" w:space="0" w:color="auto"/>
        <w:bottom w:val="single" w:sz="8" w:space="0" w:color="auto"/>
      </w:pBdr>
      <w:suppressAutoHyphens w:val="0"/>
      <w:spacing w:before="100" w:beforeAutospacing="1" w:after="100" w:afterAutospacing="1" w:line="240" w:lineRule="auto"/>
      <w:ind w:left="0" w:right="0"/>
      <w:jc w:val="center"/>
    </w:pPr>
    <w:rPr>
      <w:rFonts w:ascii="Times New Roman" w:eastAsia="Times New Roman" w:hAnsi="Times New Roman" w:cs="Times New Roman"/>
      <w:sz w:val="24"/>
      <w:szCs w:val="24"/>
      <w:lang w:eastAsia="it-IT"/>
    </w:rPr>
  </w:style>
  <w:style w:type="paragraph" w:customStyle="1" w:styleId="xl81">
    <w:name w:val="xl81"/>
    <w:basedOn w:val="Normale"/>
    <w:rsid w:val="00101354"/>
    <w:pPr>
      <w:pBdr>
        <w:top w:val="single" w:sz="8" w:space="0" w:color="auto"/>
        <w:bottom w:val="single" w:sz="8" w:space="0" w:color="auto"/>
        <w:right w:val="single" w:sz="8" w:space="0" w:color="auto"/>
      </w:pBdr>
      <w:suppressAutoHyphens w:val="0"/>
      <w:spacing w:before="100" w:beforeAutospacing="1" w:after="100" w:afterAutospacing="1" w:line="240" w:lineRule="auto"/>
      <w:ind w:left="0" w:right="0"/>
      <w:jc w:val="center"/>
    </w:pPr>
    <w:rPr>
      <w:rFonts w:ascii="Times New Roman" w:eastAsia="Times New Roman" w:hAnsi="Times New Roman" w:cs="Times New Roman"/>
      <w:sz w:val="24"/>
      <w:szCs w:val="24"/>
      <w:lang w:eastAsia="it-IT"/>
    </w:rPr>
  </w:style>
  <w:style w:type="paragraph" w:customStyle="1" w:styleId="xl82">
    <w:name w:val="xl82"/>
    <w:basedOn w:val="Normale"/>
    <w:rsid w:val="00101354"/>
    <w:pPr>
      <w:pBdr>
        <w:top w:val="single" w:sz="8" w:space="0" w:color="auto"/>
        <w:left w:val="single" w:sz="4" w:space="0" w:color="auto"/>
        <w:bottom w:val="single" w:sz="8"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sz w:val="24"/>
      <w:szCs w:val="24"/>
      <w:lang w:eastAsia="it-IT"/>
    </w:rPr>
  </w:style>
  <w:style w:type="paragraph" w:customStyle="1" w:styleId="xl83">
    <w:name w:val="xl83"/>
    <w:basedOn w:val="Normale"/>
    <w:rsid w:val="00101354"/>
    <w:pPr>
      <w:pBdr>
        <w:top w:val="single" w:sz="8" w:space="0" w:color="auto"/>
        <w:bottom w:val="single" w:sz="8" w:space="0" w:color="auto"/>
        <w:right w:val="single" w:sz="8" w:space="0" w:color="auto"/>
      </w:pBdr>
      <w:suppressAutoHyphens w:val="0"/>
      <w:spacing w:before="100" w:beforeAutospacing="1" w:after="100" w:afterAutospacing="1" w:line="240" w:lineRule="auto"/>
      <w:ind w:left="0" w:right="0"/>
      <w:jc w:val="center"/>
      <w:textAlignment w:val="center"/>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3D6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451184">
      <w:bodyDiv w:val="1"/>
      <w:marLeft w:val="0"/>
      <w:marRight w:val="0"/>
      <w:marTop w:val="0"/>
      <w:marBottom w:val="0"/>
      <w:divBdr>
        <w:top w:val="none" w:sz="0" w:space="0" w:color="auto"/>
        <w:left w:val="none" w:sz="0" w:space="0" w:color="auto"/>
        <w:bottom w:val="none" w:sz="0" w:space="0" w:color="auto"/>
        <w:right w:val="none" w:sz="0" w:space="0" w:color="auto"/>
      </w:divBdr>
    </w:div>
    <w:div w:id="220093416">
      <w:bodyDiv w:val="1"/>
      <w:marLeft w:val="0"/>
      <w:marRight w:val="0"/>
      <w:marTop w:val="0"/>
      <w:marBottom w:val="0"/>
      <w:divBdr>
        <w:top w:val="none" w:sz="0" w:space="0" w:color="auto"/>
        <w:left w:val="none" w:sz="0" w:space="0" w:color="auto"/>
        <w:bottom w:val="none" w:sz="0" w:space="0" w:color="auto"/>
        <w:right w:val="none" w:sz="0" w:space="0" w:color="auto"/>
      </w:divBdr>
    </w:div>
    <w:div w:id="816073543">
      <w:bodyDiv w:val="1"/>
      <w:marLeft w:val="0"/>
      <w:marRight w:val="0"/>
      <w:marTop w:val="0"/>
      <w:marBottom w:val="0"/>
      <w:divBdr>
        <w:top w:val="none" w:sz="0" w:space="0" w:color="auto"/>
        <w:left w:val="none" w:sz="0" w:space="0" w:color="auto"/>
        <w:bottom w:val="none" w:sz="0" w:space="0" w:color="auto"/>
        <w:right w:val="none" w:sz="0" w:space="0" w:color="auto"/>
      </w:divBdr>
    </w:div>
    <w:div w:id="887452088">
      <w:bodyDiv w:val="1"/>
      <w:marLeft w:val="0"/>
      <w:marRight w:val="0"/>
      <w:marTop w:val="0"/>
      <w:marBottom w:val="0"/>
      <w:divBdr>
        <w:top w:val="none" w:sz="0" w:space="0" w:color="auto"/>
        <w:left w:val="none" w:sz="0" w:space="0" w:color="auto"/>
        <w:bottom w:val="none" w:sz="0" w:space="0" w:color="auto"/>
        <w:right w:val="none" w:sz="0" w:space="0" w:color="auto"/>
      </w:divBdr>
    </w:div>
    <w:div w:id="962880078">
      <w:bodyDiv w:val="1"/>
      <w:marLeft w:val="0"/>
      <w:marRight w:val="0"/>
      <w:marTop w:val="0"/>
      <w:marBottom w:val="0"/>
      <w:divBdr>
        <w:top w:val="none" w:sz="0" w:space="0" w:color="auto"/>
        <w:left w:val="none" w:sz="0" w:space="0" w:color="auto"/>
        <w:bottom w:val="none" w:sz="0" w:space="0" w:color="auto"/>
        <w:right w:val="none" w:sz="0" w:space="0" w:color="auto"/>
      </w:divBdr>
    </w:div>
    <w:div w:id="1048993272">
      <w:bodyDiv w:val="1"/>
      <w:marLeft w:val="0"/>
      <w:marRight w:val="0"/>
      <w:marTop w:val="0"/>
      <w:marBottom w:val="0"/>
      <w:divBdr>
        <w:top w:val="none" w:sz="0" w:space="0" w:color="auto"/>
        <w:left w:val="none" w:sz="0" w:space="0" w:color="auto"/>
        <w:bottom w:val="none" w:sz="0" w:space="0" w:color="auto"/>
        <w:right w:val="none" w:sz="0" w:space="0" w:color="auto"/>
      </w:divBdr>
    </w:div>
    <w:div w:id="1083144590">
      <w:bodyDiv w:val="1"/>
      <w:marLeft w:val="0"/>
      <w:marRight w:val="0"/>
      <w:marTop w:val="0"/>
      <w:marBottom w:val="0"/>
      <w:divBdr>
        <w:top w:val="none" w:sz="0" w:space="0" w:color="auto"/>
        <w:left w:val="none" w:sz="0" w:space="0" w:color="auto"/>
        <w:bottom w:val="none" w:sz="0" w:space="0" w:color="auto"/>
        <w:right w:val="none" w:sz="0" w:space="0" w:color="auto"/>
      </w:divBdr>
    </w:div>
    <w:div w:id="1146583918">
      <w:bodyDiv w:val="1"/>
      <w:marLeft w:val="0"/>
      <w:marRight w:val="0"/>
      <w:marTop w:val="0"/>
      <w:marBottom w:val="0"/>
      <w:divBdr>
        <w:top w:val="none" w:sz="0" w:space="0" w:color="auto"/>
        <w:left w:val="none" w:sz="0" w:space="0" w:color="auto"/>
        <w:bottom w:val="none" w:sz="0" w:space="0" w:color="auto"/>
        <w:right w:val="none" w:sz="0" w:space="0" w:color="auto"/>
      </w:divBdr>
    </w:div>
    <w:div w:id="1564214842">
      <w:bodyDiv w:val="1"/>
      <w:marLeft w:val="0"/>
      <w:marRight w:val="0"/>
      <w:marTop w:val="0"/>
      <w:marBottom w:val="0"/>
      <w:divBdr>
        <w:top w:val="none" w:sz="0" w:space="0" w:color="auto"/>
        <w:left w:val="none" w:sz="0" w:space="0" w:color="auto"/>
        <w:bottom w:val="none" w:sz="0" w:space="0" w:color="auto"/>
        <w:right w:val="none" w:sz="0" w:space="0" w:color="auto"/>
      </w:divBdr>
    </w:div>
    <w:div w:id="1607613447">
      <w:bodyDiv w:val="1"/>
      <w:marLeft w:val="0"/>
      <w:marRight w:val="0"/>
      <w:marTop w:val="0"/>
      <w:marBottom w:val="0"/>
      <w:divBdr>
        <w:top w:val="none" w:sz="0" w:space="0" w:color="auto"/>
        <w:left w:val="none" w:sz="0" w:space="0" w:color="auto"/>
        <w:bottom w:val="none" w:sz="0" w:space="0" w:color="auto"/>
        <w:right w:val="none" w:sz="0" w:space="0" w:color="auto"/>
      </w:divBdr>
    </w:div>
    <w:div w:id="1645155010">
      <w:bodyDiv w:val="1"/>
      <w:marLeft w:val="0"/>
      <w:marRight w:val="0"/>
      <w:marTop w:val="0"/>
      <w:marBottom w:val="0"/>
      <w:divBdr>
        <w:top w:val="none" w:sz="0" w:space="0" w:color="auto"/>
        <w:left w:val="none" w:sz="0" w:space="0" w:color="auto"/>
        <w:bottom w:val="none" w:sz="0" w:space="0" w:color="auto"/>
        <w:right w:val="none" w:sz="0" w:space="0" w:color="auto"/>
      </w:divBdr>
    </w:div>
    <w:div w:id="1820074993">
      <w:bodyDiv w:val="1"/>
      <w:marLeft w:val="0"/>
      <w:marRight w:val="0"/>
      <w:marTop w:val="0"/>
      <w:marBottom w:val="0"/>
      <w:divBdr>
        <w:top w:val="none" w:sz="0" w:space="0" w:color="auto"/>
        <w:left w:val="none" w:sz="0" w:space="0" w:color="auto"/>
        <w:bottom w:val="none" w:sz="0" w:space="0" w:color="auto"/>
        <w:right w:val="none" w:sz="0" w:space="0" w:color="auto"/>
      </w:divBdr>
    </w:div>
    <w:div w:id="1967082232">
      <w:bodyDiv w:val="1"/>
      <w:marLeft w:val="0"/>
      <w:marRight w:val="0"/>
      <w:marTop w:val="0"/>
      <w:marBottom w:val="0"/>
      <w:divBdr>
        <w:top w:val="none" w:sz="0" w:space="0" w:color="auto"/>
        <w:left w:val="none" w:sz="0" w:space="0" w:color="auto"/>
        <w:bottom w:val="none" w:sz="0" w:space="0" w:color="auto"/>
        <w:right w:val="none" w:sz="0" w:space="0" w:color="auto"/>
      </w:divBdr>
    </w:div>
    <w:div w:id="2032291150">
      <w:bodyDiv w:val="1"/>
      <w:marLeft w:val="0"/>
      <w:marRight w:val="0"/>
      <w:marTop w:val="0"/>
      <w:marBottom w:val="0"/>
      <w:divBdr>
        <w:top w:val="none" w:sz="0" w:space="0" w:color="auto"/>
        <w:left w:val="none" w:sz="0" w:space="0" w:color="auto"/>
        <w:bottom w:val="none" w:sz="0" w:space="0" w:color="auto"/>
        <w:right w:val="none" w:sz="0" w:space="0" w:color="auto"/>
      </w:divBdr>
    </w:div>
    <w:div w:id="2041120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strategy.ec.europa.eu/en/news/ministerial-declaration-egovernment-tallinn-declaration" TargetMode="External"/><Relationship Id="rId18" Type="http://schemas.openxmlformats.org/officeDocument/2006/relationships/hyperlink" Target="https://www.altalex.com/documents/leggi/2018/01/15/modifica-cad" TargetMode="External"/><Relationship Id="rId26" Type="http://schemas.openxmlformats.org/officeDocument/2006/relationships/hyperlink" Target="https://www.acquistinretepa.it/opencms/opencms/" TargetMode="External"/><Relationship Id="rId39" Type="http://schemas.openxmlformats.org/officeDocument/2006/relationships/image" Target="media/image8.png"/><Relationship Id="rId21" Type="http://schemas.openxmlformats.org/officeDocument/2006/relationships/image" Target="media/image2.png"/><Relationship Id="rId34" Type="http://schemas.openxmlformats.org/officeDocument/2006/relationships/header" Target="header3.xml"/><Relationship Id="rId42" Type="http://schemas.openxmlformats.org/officeDocument/2006/relationships/image" Target="media/image11.png"/><Relationship Id="rId47" Type="http://schemas.openxmlformats.org/officeDocument/2006/relationships/footer" Target="footer5.xml"/><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ltalex.com/documents/codici-altalex/2014/06/20/codice-dell-amministrazione-digitale" TargetMode="External"/><Relationship Id="rId29" Type="http://schemas.openxmlformats.org/officeDocument/2006/relationships/hyperlink" Target="https://appaltinnovativi.gov.it/smarter-italy" TargetMode="External"/><Relationship Id="rId11" Type="http://schemas.openxmlformats.org/officeDocument/2006/relationships/image" Target="media/image1.jpeg"/><Relationship Id="rId24" Type="http://schemas.openxmlformats.org/officeDocument/2006/relationships/hyperlink" Target="https://assets.innovazione/" TargetMode="Externa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s://ec.europa.eu/info/strategy/priorities-2019-2024/europe-fit-digital-age/europes-digital-decade-digital-targets-2030_it" TargetMode="External"/><Relationship Id="rId23" Type="http://schemas.openxmlformats.org/officeDocument/2006/relationships/hyperlink" Target="https://assets.innovazione.gov.it/1634299755-strategiacloudit.pdf" TargetMode="External"/><Relationship Id="rId28" Type="http://schemas.openxmlformats.org/officeDocument/2006/relationships/hyperlink" Target="https://www.competenzedigitali.gov.it/" TargetMode="External"/><Relationship Id="rId36" Type="http://schemas.openxmlformats.org/officeDocument/2006/relationships/header" Target="header4.xml"/><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altalex.com/documents/news/2020/03/03/decreto-milleproroghe-testo-coordinato" TargetMode="External"/><Relationship Id="rId31" Type="http://schemas.openxmlformats.org/officeDocument/2006/relationships/header" Target="header2.xml"/><Relationship Id="rId44" Type="http://schemas.openxmlformats.org/officeDocument/2006/relationships/image" Target="media/image13.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gital-strategy.ec.europa.eu/en/news/ministerial-declaration-egovernment-tallinn-declaration" TargetMode="External"/><Relationship Id="rId22" Type="http://schemas.openxmlformats.org/officeDocument/2006/relationships/hyperlink" Target="https://ec.europa.eu/info/strategy/priorities-2019-2024/europe-fit-digital-age/european-data-strategy_it" TargetMode="External"/><Relationship Id="rId27" Type="http://schemas.openxmlformats.org/officeDocument/2006/relationships/hyperlink" Target="https://repubblicadigitale.innovazione.gov.it/pubblicato-piano-operativo-strategia-nazionale-competenze-digitali/"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2.png"/><Relationship Id="rId48" Type="http://schemas.openxmlformats.org/officeDocument/2006/relationships/hyperlink" Target="Prospetti%20Linee%20di%20azione%20per%20M1%20ridotte.xlsx"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italiadomani.gov.it/content/dam/sogei-ng/documenti/PNRR%20Aggiornato.pdf" TargetMode="External"/><Relationship Id="rId17" Type="http://schemas.openxmlformats.org/officeDocument/2006/relationships/hyperlink" Target="https://www.altalex.com/documents/codici-altalex/2014/06/20/codice-dell-amministrazione-digitale" TargetMode="External"/><Relationship Id="rId25" Type="http://schemas.openxmlformats.org/officeDocument/2006/relationships/hyperlink" Target="https://docs.italia.it/italia/manuale-d" TargetMode="External"/><Relationship Id="rId33" Type="http://schemas.openxmlformats.org/officeDocument/2006/relationships/footer" Target="footer2.xml"/><Relationship Id="rId38" Type="http://schemas.openxmlformats.org/officeDocument/2006/relationships/image" Target="media/image7.png"/><Relationship Id="rId46" Type="http://schemas.openxmlformats.org/officeDocument/2006/relationships/header" Target="header5.xml"/><Relationship Id="rId20" Type="http://schemas.openxmlformats.org/officeDocument/2006/relationships/hyperlink" Target="https://www.altalex.com/documents/news/2020/05/01/decreto-cura-italia"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5036F13C60FEB4AAFCFF19A6A54BCB4" ma:contentTypeVersion="13" ma:contentTypeDescription="Creare un nuovo documento." ma:contentTypeScope="" ma:versionID="4baa7eb9dc01d2768a682ad105ed7ec6">
  <xsd:schema xmlns:xsd="http://www.w3.org/2001/XMLSchema" xmlns:xs="http://www.w3.org/2001/XMLSchema" xmlns:p="http://schemas.microsoft.com/office/2006/metadata/properties" xmlns:ns3="10a75818-52fb-41fe-a3b0-016bed870ce1" xmlns:ns4="b6c3d02c-076b-4626-853a-58b7c51e4942" targetNamespace="http://schemas.microsoft.com/office/2006/metadata/properties" ma:root="true" ma:fieldsID="132ef40de129ff1e4b8d05930e7d7a3b" ns3:_="" ns4:_="">
    <xsd:import namespace="10a75818-52fb-41fe-a3b0-016bed870ce1"/>
    <xsd:import namespace="b6c3d02c-076b-4626-853a-58b7c51e49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a75818-52fb-41fe-a3b0-016bed870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c3d02c-076b-4626-853a-58b7c51e4942"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449FF-F4DA-46BE-8992-CB7B82472688}">
  <ds:schemaRefs>
    <ds:schemaRef ds:uri="http://schemas.microsoft.com/sharepoint/v3/contenttype/forms"/>
  </ds:schemaRefs>
</ds:datastoreItem>
</file>

<file path=customXml/itemProps2.xml><?xml version="1.0" encoding="utf-8"?>
<ds:datastoreItem xmlns:ds="http://schemas.openxmlformats.org/officeDocument/2006/customXml" ds:itemID="{5F9700E0-A840-4CC8-BA4C-56FA72002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a75818-52fb-41fe-a3b0-016bed870ce1"/>
    <ds:schemaRef ds:uri="b6c3d02c-076b-4626-853a-58b7c51e4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15FEF9-5F6B-41E1-8176-71B3893DFB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9CB336-874C-482A-A358-D4A22EB87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62</Pages>
  <Words>15992</Words>
  <Characters>91157</Characters>
  <Application>Microsoft Office Word</Application>
  <DocSecurity>0</DocSecurity>
  <Lines>759</Lines>
  <Paragraphs>213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AGID</dc:creator>
  <dc:description/>
  <cp:lastModifiedBy>Paolo Valerio Pennino</cp:lastModifiedBy>
  <cp:revision>7</cp:revision>
  <cp:lastPrinted>2023-07-24T07:47:00Z</cp:lastPrinted>
  <dcterms:created xsi:type="dcterms:W3CDTF">2024-01-24T15:58:00Z</dcterms:created>
  <dcterms:modified xsi:type="dcterms:W3CDTF">2024-09-23T08:31:00Z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0x01010035036F13C60FEB4AAFCFF19A6A54BCB4</vt:lpwstr>
  </property>
</Properties>
</file>